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39B9" w14:textId="77777777" w:rsidR="005A18DA" w:rsidRDefault="00000000">
      <w:pPr>
        <w:pStyle w:val="Heading1"/>
      </w:pPr>
      <w:r>
        <w:t>Data Dictionary</w:t>
      </w:r>
    </w:p>
    <w:p w14:paraId="5ADE6531" w14:textId="77777777" w:rsidR="005A18DA" w:rsidRDefault="00000000">
      <w:pPr>
        <w:pStyle w:val="Heading2"/>
      </w:pPr>
      <w:r>
        <w:t>housing_estimates.csv</w:t>
      </w:r>
    </w:p>
    <w:p w14:paraId="20DCF3BA" w14:textId="77777777" w:rsidR="005A18DA" w:rsidRDefault="00000000">
      <w:pPr>
        <w:spacing w:after="60"/>
      </w:pPr>
      <w:r>
        <w:rPr>
          <w:b/>
          <w:bCs/>
        </w:rPr>
        <w:t>National Transit Station Atlas — Development Module (Housing Potential)</w:t>
      </w:r>
    </w:p>
    <w:p w14:paraId="577EE1C3" w14:textId="77777777" w:rsidR="005A18DA" w:rsidRDefault="00000000">
      <w:pPr>
        <w:spacing w:after="300"/>
      </w:pPr>
      <w:r>
        <w:t>Transit-Oriented Discoveries | Schneider Analytics LLC</w:t>
      </w:r>
    </w:p>
    <w:p w14:paraId="39A7E2B6" w14:textId="77777777" w:rsidR="005A18DA" w:rsidRDefault="00000000">
      <w:pPr>
        <w:pStyle w:val="Heading2"/>
      </w:pPr>
      <w:r>
        <w:t>Overview</w:t>
      </w:r>
    </w:p>
    <w:p w14:paraId="78B13708" w14:textId="77777777" w:rsidR="005A18DA" w:rsidRDefault="00000000">
      <w:pPr>
        <w:spacing w:after="160"/>
      </w:pPr>
      <w:r>
        <w:t>This file contains conservative and aggressive estimates of new housing units that could be built on existing surface parking lots and parking garages within ½ mile (800 meters) of each transit station in the National Transit Station Atlas. Each row represents one station; the file contains 5,115 rows across 21 columns.</w:t>
      </w:r>
    </w:p>
    <w:p w14:paraId="419922B8" w14:textId="77777777" w:rsidR="005A18DA" w:rsidRDefault="00000000">
      <w:pPr>
        <w:spacing w:after="160"/>
      </w:pPr>
      <w:r>
        <w:t>The analysis is zoning-agnostic: estimates do not account for existing regulations on building height, setbacks, or land use, and assume parking minimums are eliminated within ½ mile of stations. Only parking facilities of 2,000 square meters (≈ 21,528 sq ft) or larger are considered. New development height is capped at the tallest existing building within ½ mile of the station.</w:t>
      </w:r>
    </w:p>
    <w:p w14:paraId="2AD5CD94" w14:textId="77777777" w:rsidR="005A18DA" w:rsidRDefault="00000000">
      <w:pPr>
        <w:spacing w:after="160"/>
      </w:pPr>
      <w:r>
        <w:t>These estimates are illustrative, not a literal development forecast. It is unlikely that any station area will be entirely redeveloped to these parameters; the scenarios are intended to show the potential for context-sensitive development near transit and how that potential varies with the surrounding built environment.</w:t>
      </w:r>
    </w:p>
    <w:p w14:paraId="673C6D59" w14:textId="77777777" w:rsidR="005A18DA" w:rsidRDefault="00000000">
      <w:pPr>
        <w:spacing w:after="160"/>
      </w:pPr>
      <w:r>
        <w:t>The file is organized into 21 columns grouped into 5 thematic sections: station identifiers and location, parking inputs and overlap adjustment, the height constraint, and the Conservative and Aggressive development scenarios.</w:t>
      </w:r>
    </w:p>
    <w:p w14:paraId="143BCD38" w14:textId="77777777" w:rsidR="005A18DA" w:rsidRDefault="00000000">
      <w:pPr>
        <w:pStyle w:val="Heading2"/>
      </w:pPr>
      <w:r>
        <w:t>Data Sources</w:t>
      </w:r>
    </w:p>
    <w:p w14:paraId="553CA7AC" w14:textId="77777777" w:rsidR="005A18DA" w:rsidRDefault="00000000">
      <w:pPr>
        <w:spacing w:after="160"/>
      </w:pPr>
      <w:r>
        <w:rPr>
          <w:b/>
          <w:bCs/>
        </w:rPr>
        <w:t xml:space="preserve">Building height data: </w:t>
      </w:r>
      <w:proofErr w:type="spellStart"/>
      <w:r>
        <w:t>GlobalBuildingAtlas</w:t>
      </w:r>
      <w:proofErr w:type="spellEnd"/>
      <w:r>
        <w:t xml:space="preserve"> (GBA), </w:t>
      </w:r>
      <w:proofErr w:type="spellStart"/>
      <w:r>
        <w:t>Xiaoxiang</w:t>
      </w:r>
      <w:proofErr w:type="spellEnd"/>
      <w:r>
        <w:t xml:space="preserve"> Zhu’s group, Technical University of Munich (TUM). Building footprint data is licensed </w:t>
      </w:r>
      <w:proofErr w:type="spellStart"/>
      <w:r>
        <w:t>ODbL</w:t>
      </w:r>
      <w:proofErr w:type="spellEnd"/>
      <w:r>
        <w:t>; height/LoD1 data is licensed CC BY-NC 4.0 (non-commercial use only).</w:t>
      </w:r>
    </w:p>
    <w:p w14:paraId="12F95285" w14:textId="77777777" w:rsidR="005A18DA" w:rsidRDefault="00000000">
      <w:pPr>
        <w:spacing w:after="160"/>
      </w:pPr>
      <w:r>
        <w:t xml:space="preserve">Accessed via a public Parquet conversion of the TUM release, hosted on Source Cooperative: </w:t>
      </w:r>
      <w:hyperlink r:id="rId5" w:history="1">
        <w:r>
          <w:rPr>
            <w:rStyle w:val="Hyperlink"/>
          </w:rPr>
          <w:t>https://source.coop/repositories/tge-labs/globalbuildingatlas-lod1</w:t>
        </w:r>
      </w:hyperlink>
    </w:p>
    <w:p w14:paraId="01DF746A" w14:textId="77777777" w:rsidR="005A18DA" w:rsidRDefault="00000000">
      <w:pPr>
        <w:spacing w:after="160"/>
      </w:pPr>
      <w:r>
        <w:rPr>
          <w:b/>
          <w:bCs/>
        </w:rPr>
        <w:t xml:space="preserve">Parking and building-count data (already-well-mapped stations): </w:t>
      </w:r>
      <w:r>
        <w:t xml:space="preserve">OpenStreetMap contributors, via the Overpass API. © OpenStreetMap contributors, licensed </w:t>
      </w:r>
      <w:proofErr w:type="spellStart"/>
      <w:r>
        <w:t>ODbL</w:t>
      </w:r>
      <w:proofErr w:type="spellEnd"/>
      <w:r>
        <w:t>.</w:t>
      </w:r>
    </w:p>
    <w:p w14:paraId="7481AD8B" w14:textId="77777777" w:rsidR="005A18DA" w:rsidRDefault="00000000">
      <w:pPr>
        <w:spacing w:after="160"/>
      </w:pPr>
      <w:r>
        <w:t xml:space="preserve">Station data: </w:t>
      </w:r>
      <w:hyperlink r:id="rId6" w:history="1">
        <w:r>
          <w:rPr>
            <w:rStyle w:val="Hyperlink"/>
          </w:rPr>
          <w:t>https://www.transitorienteddiscoveries.com/</w:t>
        </w:r>
      </w:hyperlink>
      <w:r>
        <w:t xml:space="preserve"> — Schneider Analytics LLC, National Transit Station Atlas.</w:t>
      </w:r>
    </w:p>
    <w:p w14:paraId="2DEB9FB1" w14:textId="77777777" w:rsidR="005A18DA" w:rsidRDefault="00000000">
      <w:pPr>
        <w:pStyle w:val="Heading2"/>
      </w:pPr>
      <w:r>
        <w:t>Column Reference</w:t>
      </w:r>
    </w:p>
    <w:p w14:paraId="435A0CF6" w14:textId="77777777" w:rsidR="005A18DA" w:rsidRDefault="00000000">
      <w:pPr>
        <w:spacing w:after="160"/>
      </w:pPr>
      <w:r>
        <w:t>The table below defines all 21 columns in the file. Columns are grouped into 5 thematic sections; section header rows are shaded pink. Columns marked in bold in the Column Name field are the primary identifiers and headline results.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6"/>
        <w:gridCol w:w="743"/>
        <w:gridCol w:w="1809"/>
        <w:gridCol w:w="3572"/>
      </w:tblGrid>
      <w:tr w:rsidR="005A18DA" w14:paraId="281DFAEB" w14:textId="77777777">
        <w:tblPrEx>
          <w:tblCellMar>
            <w:top w:w="0" w:type="dxa"/>
            <w:bottom w:w="0" w:type="dxa"/>
          </w:tblCellMar>
        </w:tblPrEx>
        <w:tc>
          <w:tcPr>
            <w:tcW w:w="2300" w:type="dxa"/>
            <w:shd w:val="clear" w:color="auto" w:fill="424242"/>
          </w:tcPr>
          <w:p w14:paraId="70B01407" w14:textId="77777777" w:rsidR="005A18DA" w:rsidRDefault="00000000">
            <w:r>
              <w:rPr>
                <w:b/>
                <w:bCs/>
                <w:color w:val="FFFFFF"/>
              </w:rPr>
              <w:t>Column Name</w:t>
            </w:r>
          </w:p>
        </w:tc>
        <w:tc>
          <w:tcPr>
            <w:tcW w:w="900" w:type="dxa"/>
            <w:shd w:val="clear" w:color="auto" w:fill="424242"/>
          </w:tcPr>
          <w:p w14:paraId="2DFD4881" w14:textId="77777777" w:rsidR="005A18DA" w:rsidRDefault="00000000">
            <w:r>
              <w:rPr>
                <w:b/>
                <w:bCs/>
                <w:color w:val="FFFFFF"/>
              </w:rPr>
              <w:t>Data Type</w:t>
            </w:r>
          </w:p>
        </w:tc>
        <w:tc>
          <w:tcPr>
            <w:tcW w:w="1600" w:type="dxa"/>
            <w:shd w:val="clear" w:color="auto" w:fill="424242"/>
          </w:tcPr>
          <w:p w14:paraId="68D34F5B" w14:textId="77777777" w:rsidR="005A18DA" w:rsidRDefault="00000000">
            <w:r>
              <w:rPr>
                <w:b/>
                <w:bCs/>
                <w:color w:val="FFFFFF"/>
              </w:rPr>
              <w:t>Unit / Values</w:t>
            </w:r>
          </w:p>
        </w:tc>
        <w:tc>
          <w:tcPr>
            <w:tcW w:w="4600" w:type="dxa"/>
            <w:shd w:val="clear" w:color="auto" w:fill="424242"/>
          </w:tcPr>
          <w:p w14:paraId="0D9855BD" w14:textId="77777777" w:rsidR="005A18DA" w:rsidRDefault="00000000">
            <w:r>
              <w:rPr>
                <w:b/>
                <w:bCs/>
                <w:color w:val="FFFFFF"/>
              </w:rPr>
              <w:t>Definition</w:t>
            </w:r>
          </w:p>
        </w:tc>
      </w:tr>
      <w:tr w:rsidR="005A18DA" w14:paraId="43AE117D" w14:textId="77777777">
        <w:tblPrEx>
          <w:tblCellMar>
            <w:top w:w="0" w:type="dxa"/>
            <w:bottom w:w="0" w:type="dxa"/>
          </w:tblCellMar>
        </w:tblPrEx>
        <w:tc>
          <w:tcPr>
            <w:tcW w:w="9400" w:type="dxa"/>
            <w:gridSpan w:val="4"/>
            <w:shd w:val="clear" w:color="auto" w:fill="FFCDD2"/>
          </w:tcPr>
          <w:p w14:paraId="212FD93F" w14:textId="77777777" w:rsidR="005A18DA" w:rsidRDefault="00000000">
            <w:r>
              <w:rPr>
                <w:b/>
                <w:bCs/>
              </w:rPr>
              <w:t>SECTION 1 — Station Identifiers &amp; Location</w:t>
            </w:r>
          </w:p>
        </w:tc>
      </w:tr>
      <w:tr w:rsidR="005A18DA" w14:paraId="736803B7" w14:textId="77777777">
        <w:tblPrEx>
          <w:tblCellMar>
            <w:top w:w="0" w:type="dxa"/>
            <w:bottom w:w="0" w:type="dxa"/>
          </w:tblCellMar>
        </w:tblPrEx>
        <w:tc>
          <w:tcPr>
            <w:tcW w:w="2300" w:type="dxa"/>
          </w:tcPr>
          <w:p w14:paraId="07E1CCD1" w14:textId="77777777" w:rsidR="005A18DA" w:rsidRDefault="00000000">
            <w:proofErr w:type="spellStart"/>
            <w:r>
              <w:rPr>
                <w:b/>
                <w:bCs/>
              </w:rPr>
              <w:t>station_id</w:t>
            </w:r>
            <w:proofErr w:type="spellEnd"/>
          </w:p>
        </w:tc>
        <w:tc>
          <w:tcPr>
            <w:tcW w:w="900" w:type="dxa"/>
          </w:tcPr>
          <w:p w14:paraId="7C7B30AF" w14:textId="77777777" w:rsidR="005A18DA" w:rsidRDefault="00000000">
            <w:r>
              <w:t>Integer</w:t>
            </w:r>
          </w:p>
        </w:tc>
        <w:tc>
          <w:tcPr>
            <w:tcW w:w="1600" w:type="dxa"/>
          </w:tcPr>
          <w:p w14:paraId="1D07A3B6" w14:textId="77777777" w:rsidR="005A18DA" w:rsidRDefault="00000000">
            <w:r>
              <w:t>Unique integer ID</w:t>
            </w:r>
          </w:p>
        </w:tc>
        <w:tc>
          <w:tcPr>
            <w:tcW w:w="4600" w:type="dxa"/>
          </w:tcPr>
          <w:p w14:paraId="49203397" w14:textId="77777777" w:rsidR="005A18DA" w:rsidRDefault="00000000">
            <w:r>
              <w:t xml:space="preserve">The National Transit Station Atlas station identifier. Corresponds to </w:t>
            </w:r>
            <w:proofErr w:type="spellStart"/>
            <w:r>
              <w:t>station_id</w:t>
            </w:r>
            <w:proofErr w:type="spellEnd"/>
            <w:r>
              <w:t xml:space="preserve"> in the Atlas Stations dataset and all other Atlas data tables (building, parking, and 3D geometry data).</w:t>
            </w:r>
          </w:p>
        </w:tc>
      </w:tr>
      <w:tr w:rsidR="005A18DA" w14:paraId="033C075D" w14:textId="77777777">
        <w:tblPrEx>
          <w:tblCellMar>
            <w:top w:w="0" w:type="dxa"/>
            <w:bottom w:w="0" w:type="dxa"/>
          </w:tblCellMar>
        </w:tblPrEx>
        <w:tc>
          <w:tcPr>
            <w:tcW w:w="2300" w:type="dxa"/>
          </w:tcPr>
          <w:p w14:paraId="786377D7" w14:textId="77777777" w:rsidR="005A18DA" w:rsidRDefault="00000000">
            <w:proofErr w:type="spellStart"/>
            <w:r>
              <w:t>station_name</w:t>
            </w:r>
            <w:proofErr w:type="spellEnd"/>
          </w:p>
        </w:tc>
        <w:tc>
          <w:tcPr>
            <w:tcW w:w="900" w:type="dxa"/>
          </w:tcPr>
          <w:p w14:paraId="1AF976C2" w14:textId="77777777" w:rsidR="005A18DA" w:rsidRDefault="00000000">
            <w:r>
              <w:t>String</w:t>
            </w:r>
          </w:p>
        </w:tc>
        <w:tc>
          <w:tcPr>
            <w:tcW w:w="1600" w:type="dxa"/>
          </w:tcPr>
          <w:p w14:paraId="6F4DA97F" w14:textId="77777777" w:rsidR="005A18DA" w:rsidRDefault="00000000">
            <w:r>
              <w:t>Text</w:t>
            </w:r>
          </w:p>
        </w:tc>
        <w:tc>
          <w:tcPr>
            <w:tcW w:w="4600" w:type="dxa"/>
          </w:tcPr>
          <w:p w14:paraId="116C4FBF" w14:textId="77777777" w:rsidR="005A18DA" w:rsidRDefault="00000000">
            <w:r>
              <w:t>The name of the transit station, as recorded in the National Transit Station Atlas. Example: “SILVER SPRING STATION”.</w:t>
            </w:r>
          </w:p>
        </w:tc>
      </w:tr>
      <w:tr w:rsidR="005A18DA" w14:paraId="6FE2C508" w14:textId="77777777">
        <w:tblPrEx>
          <w:tblCellMar>
            <w:top w:w="0" w:type="dxa"/>
            <w:bottom w:w="0" w:type="dxa"/>
          </w:tblCellMar>
        </w:tblPrEx>
        <w:tc>
          <w:tcPr>
            <w:tcW w:w="2300" w:type="dxa"/>
          </w:tcPr>
          <w:p w14:paraId="30F33E5F" w14:textId="77777777" w:rsidR="005A18DA" w:rsidRDefault="00000000">
            <w:proofErr w:type="spellStart"/>
            <w:r>
              <w:t>ntd_mode</w:t>
            </w:r>
            <w:proofErr w:type="spellEnd"/>
          </w:p>
        </w:tc>
        <w:tc>
          <w:tcPr>
            <w:tcW w:w="900" w:type="dxa"/>
          </w:tcPr>
          <w:p w14:paraId="7EAC9635" w14:textId="77777777" w:rsidR="005A18DA" w:rsidRDefault="00000000">
            <w:r>
              <w:t>String</w:t>
            </w:r>
          </w:p>
        </w:tc>
        <w:tc>
          <w:tcPr>
            <w:tcW w:w="1600" w:type="dxa"/>
          </w:tcPr>
          <w:p w14:paraId="3E0B5BFA" w14:textId="77777777" w:rsidR="005A18DA" w:rsidRDefault="00000000">
            <w:r>
              <w:t>Text</w:t>
            </w:r>
          </w:p>
        </w:tc>
        <w:tc>
          <w:tcPr>
            <w:tcW w:w="4600" w:type="dxa"/>
          </w:tcPr>
          <w:p w14:paraId="54D44EE0" w14:textId="77777777" w:rsidR="005A18DA" w:rsidRDefault="00000000">
            <w:r>
              <w:t>National Transit Database mode category for the station (e.g. Heavy Rail, Bus Rapid Transit, Ferry, Light Rail).</w:t>
            </w:r>
          </w:p>
        </w:tc>
      </w:tr>
      <w:tr w:rsidR="005A18DA" w14:paraId="323ADD5B" w14:textId="77777777">
        <w:tblPrEx>
          <w:tblCellMar>
            <w:top w:w="0" w:type="dxa"/>
            <w:bottom w:w="0" w:type="dxa"/>
          </w:tblCellMar>
        </w:tblPrEx>
        <w:tc>
          <w:tcPr>
            <w:tcW w:w="2300" w:type="dxa"/>
          </w:tcPr>
          <w:p w14:paraId="69ADC60E" w14:textId="77777777" w:rsidR="005A18DA" w:rsidRDefault="00000000">
            <w:r>
              <w:lastRenderedPageBreak/>
              <w:t>agency</w:t>
            </w:r>
          </w:p>
        </w:tc>
        <w:tc>
          <w:tcPr>
            <w:tcW w:w="900" w:type="dxa"/>
          </w:tcPr>
          <w:p w14:paraId="4A93F48E" w14:textId="77777777" w:rsidR="005A18DA" w:rsidRDefault="00000000">
            <w:r>
              <w:t>String</w:t>
            </w:r>
          </w:p>
        </w:tc>
        <w:tc>
          <w:tcPr>
            <w:tcW w:w="1600" w:type="dxa"/>
          </w:tcPr>
          <w:p w14:paraId="2919D3E3" w14:textId="77777777" w:rsidR="005A18DA" w:rsidRDefault="00000000">
            <w:r>
              <w:t>Text</w:t>
            </w:r>
          </w:p>
        </w:tc>
        <w:tc>
          <w:tcPr>
            <w:tcW w:w="4600" w:type="dxa"/>
          </w:tcPr>
          <w:p w14:paraId="5EE27F4F" w14:textId="77777777" w:rsidR="005A18DA" w:rsidRDefault="00000000">
            <w:r>
              <w:t>The name of the transit agency operating the station. Example: “Washington Metropolitan Area Transit Authority (WMATA)”.</w:t>
            </w:r>
          </w:p>
        </w:tc>
      </w:tr>
      <w:tr w:rsidR="005A18DA" w14:paraId="6F4B6081" w14:textId="77777777">
        <w:tblPrEx>
          <w:tblCellMar>
            <w:top w:w="0" w:type="dxa"/>
            <w:bottom w:w="0" w:type="dxa"/>
          </w:tblCellMar>
        </w:tblPrEx>
        <w:tc>
          <w:tcPr>
            <w:tcW w:w="2300" w:type="dxa"/>
          </w:tcPr>
          <w:p w14:paraId="174AB5DE" w14:textId="77777777" w:rsidR="005A18DA" w:rsidRDefault="00000000">
            <w:proofErr w:type="spellStart"/>
            <w:r>
              <w:t>line_name</w:t>
            </w:r>
            <w:proofErr w:type="spellEnd"/>
          </w:p>
        </w:tc>
        <w:tc>
          <w:tcPr>
            <w:tcW w:w="900" w:type="dxa"/>
          </w:tcPr>
          <w:p w14:paraId="282FB5E7" w14:textId="77777777" w:rsidR="005A18DA" w:rsidRDefault="00000000">
            <w:r>
              <w:t>String</w:t>
            </w:r>
          </w:p>
        </w:tc>
        <w:tc>
          <w:tcPr>
            <w:tcW w:w="1600" w:type="dxa"/>
          </w:tcPr>
          <w:p w14:paraId="496237DC" w14:textId="77777777" w:rsidR="005A18DA" w:rsidRDefault="00000000">
            <w:r>
              <w:t>Text</w:t>
            </w:r>
          </w:p>
        </w:tc>
        <w:tc>
          <w:tcPr>
            <w:tcW w:w="4600" w:type="dxa"/>
          </w:tcPr>
          <w:p w14:paraId="5805BDB3" w14:textId="77777777" w:rsidR="005A18DA" w:rsidRDefault="00000000">
            <w:r>
              <w:t>The transit line or route name associated with the station.</w:t>
            </w:r>
          </w:p>
        </w:tc>
      </w:tr>
      <w:tr w:rsidR="005A18DA" w14:paraId="1CC6983F" w14:textId="77777777">
        <w:tblPrEx>
          <w:tblCellMar>
            <w:top w:w="0" w:type="dxa"/>
            <w:bottom w:w="0" w:type="dxa"/>
          </w:tblCellMar>
        </w:tblPrEx>
        <w:tc>
          <w:tcPr>
            <w:tcW w:w="2300" w:type="dxa"/>
          </w:tcPr>
          <w:p w14:paraId="39C224F5" w14:textId="77777777" w:rsidR="005A18DA" w:rsidRDefault="00000000">
            <w:r>
              <w:t>latitude</w:t>
            </w:r>
          </w:p>
        </w:tc>
        <w:tc>
          <w:tcPr>
            <w:tcW w:w="900" w:type="dxa"/>
          </w:tcPr>
          <w:p w14:paraId="68109AA7" w14:textId="77777777" w:rsidR="005A18DA" w:rsidRDefault="00000000">
            <w:r>
              <w:t>Float</w:t>
            </w:r>
          </w:p>
        </w:tc>
        <w:tc>
          <w:tcPr>
            <w:tcW w:w="1600" w:type="dxa"/>
          </w:tcPr>
          <w:p w14:paraId="6009D5BA" w14:textId="77777777" w:rsidR="005A18DA" w:rsidRDefault="00000000">
            <w:r>
              <w:t>Decimal degrees (WGS 84)</w:t>
            </w:r>
          </w:p>
        </w:tc>
        <w:tc>
          <w:tcPr>
            <w:tcW w:w="4600" w:type="dxa"/>
          </w:tcPr>
          <w:p w14:paraId="74593156" w14:textId="77777777" w:rsidR="005A18DA" w:rsidRDefault="00000000">
            <w:r>
              <w:t>Geographic latitude of the station, referenced to the WGS 84 datum.</w:t>
            </w:r>
          </w:p>
        </w:tc>
      </w:tr>
      <w:tr w:rsidR="005A18DA" w14:paraId="71569BC3" w14:textId="77777777">
        <w:tblPrEx>
          <w:tblCellMar>
            <w:top w:w="0" w:type="dxa"/>
            <w:bottom w:w="0" w:type="dxa"/>
          </w:tblCellMar>
        </w:tblPrEx>
        <w:tc>
          <w:tcPr>
            <w:tcW w:w="2300" w:type="dxa"/>
          </w:tcPr>
          <w:p w14:paraId="09CB60DD" w14:textId="77777777" w:rsidR="005A18DA" w:rsidRDefault="00000000">
            <w:r>
              <w:t>longitude</w:t>
            </w:r>
          </w:p>
        </w:tc>
        <w:tc>
          <w:tcPr>
            <w:tcW w:w="900" w:type="dxa"/>
          </w:tcPr>
          <w:p w14:paraId="5A4FA5B2" w14:textId="77777777" w:rsidR="005A18DA" w:rsidRDefault="00000000">
            <w:r>
              <w:t>Float</w:t>
            </w:r>
          </w:p>
        </w:tc>
        <w:tc>
          <w:tcPr>
            <w:tcW w:w="1600" w:type="dxa"/>
          </w:tcPr>
          <w:p w14:paraId="3C948C55" w14:textId="77777777" w:rsidR="005A18DA" w:rsidRDefault="00000000">
            <w:r>
              <w:t>Decimal degrees (WGS 84)</w:t>
            </w:r>
          </w:p>
        </w:tc>
        <w:tc>
          <w:tcPr>
            <w:tcW w:w="4600" w:type="dxa"/>
          </w:tcPr>
          <w:p w14:paraId="29D87D96" w14:textId="77777777" w:rsidR="005A18DA" w:rsidRDefault="00000000">
            <w:r>
              <w:t>Geographic longitude of the station (negative values indicate west longitude), referenced to the WGS 84 datum.</w:t>
            </w:r>
          </w:p>
        </w:tc>
      </w:tr>
      <w:tr w:rsidR="005A18DA" w14:paraId="4CE8A6BF" w14:textId="77777777">
        <w:tblPrEx>
          <w:tblCellMar>
            <w:top w:w="0" w:type="dxa"/>
            <w:bottom w:w="0" w:type="dxa"/>
          </w:tblCellMar>
        </w:tblPrEx>
        <w:tc>
          <w:tcPr>
            <w:tcW w:w="9400" w:type="dxa"/>
            <w:gridSpan w:val="4"/>
            <w:shd w:val="clear" w:color="auto" w:fill="FFCDD2"/>
          </w:tcPr>
          <w:p w14:paraId="22A2717E" w14:textId="77777777" w:rsidR="005A18DA" w:rsidRDefault="00000000">
            <w:r>
              <w:rPr>
                <w:b/>
                <w:bCs/>
              </w:rPr>
              <w:t>SECTION 2 — Parking Inputs &amp; Overlap Adjustment</w:t>
            </w:r>
          </w:p>
        </w:tc>
      </w:tr>
      <w:tr w:rsidR="005A18DA" w14:paraId="6758D8A4" w14:textId="77777777">
        <w:tblPrEx>
          <w:tblCellMar>
            <w:top w:w="0" w:type="dxa"/>
            <w:bottom w:w="0" w:type="dxa"/>
          </w:tblCellMar>
        </w:tblPrEx>
        <w:tc>
          <w:tcPr>
            <w:tcW w:w="2300" w:type="dxa"/>
          </w:tcPr>
          <w:p w14:paraId="1451BB2A" w14:textId="77777777" w:rsidR="005A18DA" w:rsidRDefault="00000000">
            <w:r>
              <w:rPr>
                <w:b/>
                <w:bCs/>
              </w:rPr>
              <w:t>TotalParkingArea_ft2</w:t>
            </w:r>
          </w:p>
        </w:tc>
        <w:tc>
          <w:tcPr>
            <w:tcW w:w="900" w:type="dxa"/>
          </w:tcPr>
          <w:p w14:paraId="1E860291" w14:textId="77777777" w:rsidR="005A18DA" w:rsidRDefault="00000000">
            <w:r>
              <w:t>Integer</w:t>
            </w:r>
          </w:p>
        </w:tc>
        <w:tc>
          <w:tcPr>
            <w:tcW w:w="1600" w:type="dxa"/>
          </w:tcPr>
          <w:p w14:paraId="161D3305" w14:textId="77777777" w:rsidR="005A18DA" w:rsidRDefault="00000000">
            <w:r>
              <w:t>Square feet</w:t>
            </w:r>
          </w:p>
        </w:tc>
        <w:tc>
          <w:tcPr>
            <w:tcW w:w="4600" w:type="dxa"/>
          </w:tcPr>
          <w:p w14:paraId="793AFF16" w14:textId="77777777" w:rsidR="005A18DA" w:rsidRDefault="00000000">
            <w:r>
              <w:t>Total footprint area of qualifying surface parking lots and parking garages within ½ mile (800 m) of the station, before any adjustment for overlap with nearby stations. Computed directly from building/parking polygon geometry in the Atlas’s cached 3D building data (see Data Sources). Only individual facilities of 2,000 square meters (≈ 21,528 sq ft) or larger are counted; smaller lots are excluded regardless of number. For parking garages, this reflects true ground footprint (the building’s polygon outline), not total floor area summed across multiple parking levels.</w:t>
            </w:r>
          </w:p>
        </w:tc>
      </w:tr>
      <w:tr w:rsidR="005A18DA" w14:paraId="0D5E0211" w14:textId="77777777">
        <w:tblPrEx>
          <w:tblCellMar>
            <w:top w:w="0" w:type="dxa"/>
            <w:bottom w:w="0" w:type="dxa"/>
          </w:tblCellMar>
        </w:tblPrEx>
        <w:tc>
          <w:tcPr>
            <w:tcW w:w="2300" w:type="dxa"/>
          </w:tcPr>
          <w:p w14:paraId="567BE9E9" w14:textId="77777777" w:rsidR="005A18DA" w:rsidRDefault="00000000">
            <w:proofErr w:type="spellStart"/>
            <w:r>
              <w:t>nearby_station_count</w:t>
            </w:r>
            <w:proofErr w:type="spellEnd"/>
          </w:p>
        </w:tc>
        <w:tc>
          <w:tcPr>
            <w:tcW w:w="900" w:type="dxa"/>
          </w:tcPr>
          <w:p w14:paraId="6AC983C8" w14:textId="77777777" w:rsidR="005A18DA" w:rsidRDefault="00000000">
            <w:r>
              <w:t>Integer</w:t>
            </w:r>
          </w:p>
        </w:tc>
        <w:tc>
          <w:tcPr>
            <w:tcW w:w="1600" w:type="dxa"/>
          </w:tcPr>
          <w:p w14:paraId="4FD17E53" w14:textId="77777777" w:rsidR="005A18DA" w:rsidRDefault="00000000">
            <w:r>
              <w:t>Count, 0 or more</w:t>
            </w:r>
          </w:p>
        </w:tc>
        <w:tc>
          <w:tcPr>
            <w:tcW w:w="4600" w:type="dxa"/>
          </w:tcPr>
          <w:p w14:paraId="32E81AEF" w14:textId="001D2765" w:rsidR="005A18DA" w:rsidRDefault="00000000">
            <w:r>
              <w:t xml:space="preserve">The number of other Atlas stations whose ½-mile (800 m) service area overlaps this station’s. Used to compute </w:t>
            </w:r>
            <w:proofErr w:type="spellStart"/>
            <w:r>
              <w:t>proration_factor</w:t>
            </w:r>
            <w:proofErr w:type="spellEnd"/>
            <w:r>
              <w:t xml:space="preserve">. A value of </w:t>
            </w:r>
            <w:r w:rsidR="00292E65">
              <w:t>1</w:t>
            </w:r>
            <w:r>
              <w:t xml:space="preserve"> means this station’s service area does not overlap any other station’s.</w:t>
            </w:r>
          </w:p>
        </w:tc>
      </w:tr>
      <w:tr w:rsidR="005A18DA" w14:paraId="1FD97E04" w14:textId="77777777">
        <w:tblPrEx>
          <w:tblCellMar>
            <w:top w:w="0" w:type="dxa"/>
            <w:bottom w:w="0" w:type="dxa"/>
          </w:tblCellMar>
        </w:tblPrEx>
        <w:tc>
          <w:tcPr>
            <w:tcW w:w="2300" w:type="dxa"/>
          </w:tcPr>
          <w:p w14:paraId="6A820557" w14:textId="77777777" w:rsidR="005A18DA" w:rsidRDefault="00000000">
            <w:proofErr w:type="spellStart"/>
            <w:r>
              <w:t>proration_factor</w:t>
            </w:r>
            <w:proofErr w:type="spellEnd"/>
          </w:p>
        </w:tc>
        <w:tc>
          <w:tcPr>
            <w:tcW w:w="900" w:type="dxa"/>
          </w:tcPr>
          <w:p w14:paraId="1913B92B" w14:textId="77777777" w:rsidR="005A18DA" w:rsidRDefault="00000000">
            <w:r>
              <w:t>Float</w:t>
            </w:r>
          </w:p>
        </w:tc>
        <w:tc>
          <w:tcPr>
            <w:tcW w:w="1600" w:type="dxa"/>
          </w:tcPr>
          <w:p w14:paraId="24B362F1" w14:textId="77777777" w:rsidR="005A18DA" w:rsidRDefault="00000000">
            <w:r>
              <w:t>0.0–1.0</w:t>
            </w:r>
          </w:p>
          <w:p w14:paraId="10E7737F" w14:textId="77777777" w:rsidR="005A18DA" w:rsidRDefault="00000000">
            <w:r>
              <w:t>1 / (</w:t>
            </w:r>
            <w:proofErr w:type="spellStart"/>
            <w:r>
              <w:t>nearby_station_count</w:t>
            </w:r>
            <w:proofErr w:type="spellEnd"/>
            <w:r>
              <w:t xml:space="preserve"> + 1)</w:t>
            </w:r>
          </w:p>
        </w:tc>
        <w:tc>
          <w:tcPr>
            <w:tcW w:w="4600" w:type="dxa"/>
          </w:tcPr>
          <w:p w14:paraId="1A468E9B" w14:textId="77777777" w:rsidR="005A18DA" w:rsidRDefault="00000000">
            <w:r>
              <w:t xml:space="preserve">The share of this station’s qualifying parking area </w:t>
            </w:r>
            <w:proofErr w:type="gramStart"/>
            <w:r>
              <w:t>attributed</w:t>
            </w:r>
            <w:proofErr w:type="gramEnd"/>
            <w:r>
              <w:t xml:space="preserve"> to it after adjusting for </w:t>
            </w:r>
            <w:proofErr w:type="gramStart"/>
            <w:r>
              <w:t>overlap</w:t>
            </w:r>
            <w:proofErr w:type="gramEnd"/>
            <w:r>
              <w:t xml:space="preserve"> with nearby stations, computed as an even split among all overlapping stations. Prevents the same physical parking lot from being fully counted at every nearby station that happens to include it within ½ mile.</w:t>
            </w:r>
          </w:p>
        </w:tc>
      </w:tr>
      <w:tr w:rsidR="005A18DA" w14:paraId="6B5E895E" w14:textId="77777777">
        <w:tblPrEx>
          <w:tblCellMar>
            <w:top w:w="0" w:type="dxa"/>
            <w:bottom w:w="0" w:type="dxa"/>
          </w:tblCellMar>
        </w:tblPrEx>
        <w:tc>
          <w:tcPr>
            <w:tcW w:w="2300" w:type="dxa"/>
          </w:tcPr>
          <w:p w14:paraId="75C431A6" w14:textId="77777777" w:rsidR="005A18DA" w:rsidRDefault="00000000">
            <w:r>
              <w:rPr>
                <w:b/>
                <w:bCs/>
              </w:rPr>
              <w:t>TotalParkingArea_ft2_Prorated</w:t>
            </w:r>
          </w:p>
        </w:tc>
        <w:tc>
          <w:tcPr>
            <w:tcW w:w="900" w:type="dxa"/>
          </w:tcPr>
          <w:p w14:paraId="02B1911D" w14:textId="77777777" w:rsidR="005A18DA" w:rsidRDefault="00000000">
            <w:r>
              <w:t>Float</w:t>
            </w:r>
          </w:p>
        </w:tc>
        <w:tc>
          <w:tcPr>
            <w:tcW w:w="1600" w:type="dxa"/>
          </w:tcPr>
          <w:p w14:paraId="7118B6E9" w14:textId="77777777" w:rsidR="005A18DA" w:rsidRDefault="00000000">
            <w:r>
              <w:t>Square feet</w:t>
            </w:r>
          </w:p>
        </w:tc>
        <w:tc>
          <w:tcPr>
            <w:tcW w:w="4600" w:type="dxa"/>
          </w:tcPr>
          <w:p w14:paraId="5C2DFD62" w14:textId="77777777" w:rsidR="005A18DA" w:rsidRDefault="00000000">
            <w:r>
              <w:t xml:space="preserve">TotalParkingArea_ft2 × </w:t>
            </w:r>
            <w:proofErr w:type="spellStart"/>
            <w:r>
              <w:t>proration_factor</w:t>
            </w:r>
            <w:proofErr w:type="spellEnd"/>
            <w:r>
              <w:t>. The portion of qualifying parking area attributed to this station specifically, after removing double-counting of parking shared with nearby, overlapping stations.</w:t>
            </w:r>
          </w:p>
        </w:tc>
      </w:tr>
      <w:tr w:rsidR="005A18DA" w14:paraId="44F36724" w14:textId="77777777">
        <w:tblPrEx>
          <w:tblCellMar>
            <w:top w:w="0" w:type="dxa"/>
            <w:bottom w:w="0" w:type="dxa"/>
          </w:tblCellMar>
        </w:tblPrEx>
        <w:tc>
          <w:tcPr>
            <w:tcW w:w="9400" w:type="dxa"/>
            <w:gridSpan w:val="4"/>
            <w:shd w:val="clear" w:color="auto" w:fill="FFCDD2"/>
          </w:tcPr>
          <w:p w14:paraId="24C8C327" w14:textId="77777777" w:rsidR="005A18DA" w:rsidRDefault="00000000">
            <w:r>
              <w:rPr>
                <w:b/>
                <w:bCs/>
              </w:rPr>
              <w:t>SECTION 3 — Height Constraint</w:t>
            </w:r>
          </w:p>
        </w:tc>
      </w:tr>
      <w:tr w:rsidR="005A18DA" w14:paraId="3C53C3A0" w14:textId="77777777">
        <w:tblPrEx>
          <w:tblCellMar>
            <w:top w:w="0" w:type="dxa"/>
            <w:bottom w:w="0" w:type="dxa"/>
          </w:tblCellMar>
        </w:tblPrEx>
        <w:tc>
          <w:tcPr>
            <w:tcW w:w="2300" w:type="dxa"/>
          </w:tcPr>
          <w:p w14:paraId="48C89DDA" w14:textId="77777777" w:rsidR="005A18DA" w:rsidRDefault="00000000">
            <w:proofErr w:type="spellStart"/>
            <w:r>
              <w:rPr>
                <w:b/>
                <w:bCs/>
              </w:rPr>
              <w:t>tallest_building_stories</w:t>
            </w:r>
            <w:proofErr w:type="spellEnd"/>
          </w:p>
        </w:tc>
        <w:tc>
          <w:tcPr>
            <w:tcW w:w="900" w:type="dxa"/>
          </w:tcPr>
          <w:p w14:paraId="535CA2DD" w14:textId="77777777" w:rsidR="005A18DA" w:rsidRDefault="00000000">
            <w:r>
              <w:t>Float</w:t>
            </w:r>
          </w:p>
        </w:tc>
        <w:tc>
          <w:tcPr>
            <w:tcW w:w="1600" w:type="dxa"/>
          </w:tcPr>
          <w:p w14:paraId="23E0DCFE" w14:textId="77777777" w:rsidR="005A18DA" w:rsidRDefault="00000000">
            <w:r>
              <w:t>Stories</w:t>
            </w:r>
          </w:p>
          <w:p w14:paraId="048AB48C" w14:textId="77777777" w:rsidR="005A18DA" w:rsidRDefault="00000000">
            <w:r>
              <w:t>(1 story ≈ 3.5 m)</w:t>
            </w:r>
          </w:p>
        </w:tc>
        <w:tc>
          <w:tcPr>
            <w:tcW w:w="4600" w:type="dxa"/>
          </w:tcPr>
          <w:p w14:paraId="583D2225" w14:textId="77777777" w:rsidR="005A18DA" w:rsidRDefault="00000000">
            <w:r>
              <w:t xml:space="preserve">The height, in stories, of the tallest existing building within ½ mile (800 m) of the station. New development in both scenarios is capped at this height. Derived from </w:t>
            </w:r>
            <w:proofErr w:type="spellStart"/>
            <w:r>
              <w:t>GlobalBuildingAtlas</w:t>
            </w:r>
            <w:proofErr w:type="spellEnd"/>
            <w:r>
              <w:t xml:space="preserve"> (GBA) satellite-derived building height data (see Data Sources), converted from meters to stories using an assumed 3.5 meters per story.</w:t>
            </w:r>
          </w:p>
        </w:tc>
      </w:tr>
      <w:tr w:rsidR="005A18DA" w14:paraId="57BE7D20" w14:textId="77777777">
        <w:tblPrEx>
          <w:tblCellMar>
            <w:top w:w="0" w:type="dxa"/>
            <w:bottom w:w="0" w:type="dxa"/>
          </w:tblCellMar>
        </w:tblPrEx>
        <w:tc>
          <w:tcPr>
            <w:tcW w:w="2300" w:type="dxa"/>
          </w:tcPr>
          <w:p w14:paraId="7484B753" w14:textId="77777777" w:rsidR="005A18DA" w:rsidRDefault="00000000">
            <w:proofErr w:type="spellStart"/>
            <w:r>
              <w:t>HeightSource</w:t>
            </w:r>
            <w:proofErr w:type="spellEnd"/>
          </w:p>
        </w:tc>
        <w:tc>
          <w:tcPr>
            <w:tcW w:w="900" w:type="dxa"/>
          </w:tcPr>
          <w:p w14:paraId="2279E211" w14:textId="77777777" w:rsidR="005A18DA" w:rsidRDefault="00000000">
            <w:r>
              <w:t>String</w:t>
            </w:r>
          </w:p>
        </w:tc>
        <w:tc>
          <w:tcPr>
            <w:tcW w:w="1600" w:type="dxa"/>
          </w:tcPr>
          <w:p w14:paraId="38E263D8" w14:textId="77777777" w:rsidR="005A18DA" w:rsidRDefault="00000000">
            <w:r>
              <w:t>“GBA” (all rows)</w:t>
            </w:r>
          </w:p>
        </w:tc>
        <w:tc>
          <w:tcPr>
            <w:tcW w:w="4600" w:type="dxa"/>
          </w:tcPr>
          <w:p w14:paraId="601D1BC0" w14:textId="77777777" w:rsidR="005A18DA" w:rsidRDefault="00000000">
            <w:r>
              <w:t xml:space="preserve">Indicates the source of the height constraint. All rows use </w:t>
            </w:r>
            <w:proofErr w:type="spellStart"/>
            <w:r>
              <w:t>GlobalBuildingAtlas</w:t>
            </w:r>
            <w:proofErr w:type="spellEnd"/>
            <w:r>
              <w:t xml:space="preserve"> (GBA) </w:t>
            </w:r>
            <w:r>
              <w:lastRenderedPageBreak/>
              <w:t>satellite-derived height data, applied uniformly to every station, rather than OpenStreetMap-tagged building heights — GBA provides a height estimate for effectively every building, while OSM height tagging is highly incomplete and varies widely by station. See Data Notes for the tradeoffs this involves.</w:t>
            </w:r>
          </w:p>
        </w:tc>
      </w:tr>
      <w:tr w:rsidR="005A18DA" w14:paraId="59041B38" w14:textId="77777777">
        <w:tblPrEx>
          <w:tblCellMar>
            <w:top w:w="0" w:type="dxa"/>
            <w:bottom w:w="0" w:type="dxa"/>
          </w:tblCellMar>
        </w:tblPrEx>
        <w:tc>
          <w:tcPr>
            <w:tcW w:w="9400" w:type="dxa"/>
            <w:gridSpan w:val="4"/>
            <w:shd w:val="clear" w:color="auto" w:fill="FFCDD2"/>
          </w:tcPr>
          <w:p w14:paraId="41D30F70" w14:textId="77777777" w:rsidR="005A18DA" w:rsidRDefault="00000000">
            <w:r>
              <w:rPr>
                <w:b/>
                <w:bCs/>
              </w:rPr>
              <w:lastRenderedPageBreak/>
              <w:t>SECTION 4 — Conservative Scenario</w:t>
            </w:r>
          </w:p>
        </w:tc>
      </w:tr>
      <w:tr w:rsidR="005A18DA" w14:paraId="2D10E3E0" w14:textId="77777777">
        <w:tblPrEx>
          <w:tblCellMar>
            <w:top w:w="0" w:type="dxa"/>
            <w:bottom w:w="0" w:type="dxa"/>
          </w:tblCellMar>
        </w:tblPrEx>
        <w:tc>
          <w:tcPr>
            <w:tcW w:w="2300" w:type="dxa"/>
          </w:tcPr>
          <w:p w14:paraId="0D9523E4" w14:textId="77777777" w:rsidR="005A18DA" w:rsidRDefault="00000000">
            <w:proofErr w:type="spellStart"/>
            <w:r>
              <w:t>Conservative_StoriesUsed</w:t>
            </w:r>
            <w:proofErr w:type="spellEnd"/>
          </w:p>
        </w:tc>
        <w:tc>
          <w:tcPr>
            <w:tcW w:w="900" w:type="dxa"/>
          </w:tcPr>
          <w:p w14:paraId="2D8E8E90" w14:textId="77777777" w:rsidR="005A18DA" w:rsidRDefault="00000000">
            <w:r>
              <w:t>Float</w:t>
            </w:r>
          </w:p>
        </w:tc>
        <w:tc>
          <w:tcPr>
            <w:tcW w:w="1600" w:type="dxa"/>
          </w:tcPr>
          <w:p w14:paraId="50FFEEA5" w14:textId="77777777" w:rsidR="005A18DA" w:rsidRDefault="00000000">
            <w:r>
              <w:t>Stories</w:t>
            </w:r>
          </w:p>
        </w:tc>
        <w:tc>
          <w:tcPr>
            <w:tcW w:w="4600" w:type="dxa"/>
          </w:tcPr>
          <w:p w14:paraId="057322F6" w14:textId="77777777" w:rsidR="005A18DA" w:rsidRDefault="00000000">
            <w:proofErr w:type="spellStart"/>
            <w:r>
              <w:t>tallest_building_stories</w:t>
            </w:r>
            <w:proofErr w:type="spellEnd"/>
            <w:r>
              <w:t xml:space="preserve"> × 60%. The building height </w:t>
            </w:r>
            <w:proofErr w:type="gramStart"/>
            <w:r>
              <w:t>actually used</w:t>
            </w:r>
            <w:proofErr w:type="gramEnd"/>
            <w:r>
              <w:t xml:space="preserve"> for new development under the Conservative scenario.</w:t>
            </w:r>
          </w:p>
        </w:tc>
      </w:tr>
      <w:tr w:rsidR="005A18DA" w14:paraId="2C25B0D3" w14:textId="77777777">
        <w:tblPrEx>
          <w:tblCellMar>
            <w:top w:w="0" w:type="dxa"/>
            <w:bottom w:w="0" w:type="dxa"/>
          </w:tblCellMar>
        </w:tblPrEx>
        <w:tc>
          <w:tcPr>
            <w:tcW w:w="2300" w:type="dxa"/>
          </w:tcPr>
          <w:p w14:paraId="7C02DE2A" w14:textId="77777777" w:rsidR="005A18DA" w:rsidRDefault="00000000">
            <w:r>
              <w:t>Conservative_BuildableFootprint_ft2</w:t>
            </w:r>
          </w:p>
        </w:tc>
        <w:tc>
          <w:tcPr>
            <w:tcW w:w="900" w:type="dxa"/>
          </w:tcPr>
          <w:p w14:paraId="1511F0A4" w14:textId="77777777" w:rsidR="005A18DA" w:rsidRDefault="00000000">
            <w:r>
              <w:t>Float</w:t>
            </w:r>
          </w:p>
        </w:tc>
        <w:tc>
          <w:tcPr>
            <w:tcW w:w="1600" w:type="dxa"/>
          </w:tcPr>
          <w:p w14:paraId="6C496EF6" w14:textId="77777777" w:rsidR="005A18DA" w:rsidRDefault="00000000">
            <w:r>
              <w:t>Square feet</w:t>
            </w:r>
          </w:p>
        </w:tc>
        <w:tc>
          <w:tcPr>
            <w:tcW w:w="4600" w:type="dxa"/>
          </w:tcPr>
          <w:p w14:paraId="5832B3B9" w14:textId="77777777" w:rsidR="005A18DA" w:rsidRDefault="00000000">
            <w:r>
              <w:t>TotalParkingArea_ft2 × 75% lot coverage. The portion of the qualifying parking area assumed buildable, after accounting for setbacks, landscaping, walkways, and driveways.</w:t>
            </w:r>
          </w:p>
        </w:tc>
      </w:tr>
      <w:tr w:rsidR="005A18DA" w14:paraId="12E3D5AD" w14:textId="77777777">
        <w:tblPrEx>
          <w:tblCellMar>
            <w:top w:w="0" w:type="dxa"/>
            <w:bottom w:w="0" w:type="dxa"/>
          </w:tblCellMar>
        </w:tblPrEx>
        <w:tc>
          <w:tcPr>
            <w:tcW w:w="2300" w:type="dxa"/>
          </w:tcPr>
          <w:p w14:paraId="3CFD68B7" w14:textId="77777777" w:rsidR="005A18DA" w:rsidRDefault="00000000">
            <w:proofErr w:type="spellStart"/>
            <w:r>
              <w:rPr>
                <w:b/>
                <w:bCs/>
              </w:rPr>
              <w:t>Conservative_HousingUnits</w:t>
            </w:r>
            <w:proofErr w:type="spellEnd"/>
          </w:p>
        </w:tc>
        <w:tc>
          <w:tcPr>
            <w:tcW w:w="900" w:type="dxa"/>
          </w:tcPr>
          <w:p w14:paraId="60A71B0E" w14:textId="77777777" w:rsidR="005A18DA" w:rsidRDefault="00000000">
            <w:r>
              <w:t>Integer</w:t>
            </w:r>
          </w:p>
        </w:tc>
        <w:tc>
          <w:tcPr>
            <w:tcW w:w="1600" w:type="dxa"/>
          </w:tcPr>
          <w:p w14:paraId="05C5DB7B" w14:textId="77777777" w:rsidR="005A18DA" w:rsidRDefault="00000000">
            <w:r>
              <w:t>Housing units</w:t>
            </w:r>
          </w:p>
        </w:tc>
        <w:tc>
          <w:tcPr>
            <w:tcW w:w="4600" w:type="dxa"/>
          </w:tcPr>
          <w:p w14:paraId="1281A6AC" w14:textId="77777777" w:rsidR="005A18DA" w:rsidRDefault="00000000">
            <w:r>
              <w:t xml:space="preserve">Estimated new housing units achievable under Conservative assumptions (60% of tallest nearby building, 75% lot coverage, 20% of floor area reserved for commercial/public use, 1,000 sq ft per unit), using the station’s full, </w:t>
            </w:r>
            <w:proofErr w:type="spellStart"/>
            <w:r>
              <w:t>unprorated</w:t>
            </w:r>
            <w:proofErr w:type="spellEnd"/>
            <w:r>
              <w:t xml:space="preserve"> parking area. Represents this station’s standalone potential in isolation — see Data Notes before aggregating across stations.</w:t>
            </w:r>
          </w:p>
        </w:tc>
      </w:tr>
      <w:tr w:rsidR="005A18DA" w14:paraId="41628FA0" w14:textId="77777777">
        <w:tblPrEx>
          <w:tblCellMar>
            <w:top w:w="0" w:type="dxa"/>
            <w:bottom w:w="0" w:type="dxa"/>
          </w:tblCellMar>
        </w:tblPrEx>
        <w:tc>
          <w:tcPr>
            <w:tcW w:w="2300" w:type="dxa"/>
          </w:tcPr>
          <w:p w14:paraId="4989025F" w14:textId="77777777" w:rsidR="005A18DA" w:rsidRDefault="00000000">
            <w:proofErr w:type="spellStart"/>
            <w:r>
              <w:rPr>
                <w:b/>
                <w:bCs/>
              </w:rPr>
              <w:t>Conservative_HousingUnits_Prorated</w:t>
            </w:r>
            <w:proofErr w:type="spellEnd"/>
          </w:p>
        </w:tc>
        <w:tc>
          <w:tcPr>
            <w:tcW w:w="900" w:type="dxa"/>
          </w:tcPr>
          <w:p w14:paraId="282CDD04" w14:textId="77777777" w:rsidR="005A18DA" w:rsidRDefault="00000000">
            <w:r>
              <w:t>Integer</w:t>
            </w:r>
          </w:p>
        </w:tc>
        <w:tc>
          <w:tcPr>
            <w:tcW w:w="1600" w:type="dxa"/>
          </w:tcPr>
          <w:p w14:paraId="5C27A882" w14:textId="77777777" w:rsidR="005A18DA" w:rsidRDefault="00000000">
            <w:r>
              <w:t>Housing units</w:t>
            </w:r>
          </w:p>
        </w:tc>
        <w:tc>
          <w:tcPr>
            <w:tcW w:w="4600" w:type="dxa"/>
          </w:tcPr>
          <w:p w14:paraId="78787D0F" w14:textId="77777777" w:rsidR="005A18DA" w:rsidRDefault="00000000">
            <w:r>
              <w:t xml:space="preserve">The same Conservative calculation, using TotalParkingArea_ft2_Prorated in place of the </w:t>
            </w:r>
            <w:proofErr w:type="spellStart"/>
            <w:r>
              <w:t>unprorated</w:t>
            </w:r>
            <w:proofErr w:type="spellEnd"/>
            <w:r>
              <w:t xml:space="preserve"> parking area. Use this figure, not </w:t>
            </w:r>
            <w:proofErr w:type="spellStart"/>
            <w:r>
              <w:t>Conservative_HousingUnits</w:t>
            </w:r>
            <w:proofErr w:type="spellEnd"/>
            <w:r>
              <w:t>, when summing or aggregating housing potential across multiple stations, to avoid double-counting parking shared between nearby stations.</w:t>
            </w:r>
          </w:p>
        </w:tc>
      </w:tr>
      <w:tr w:rsidR="005A18DA" w14:paraId="3A8BFB62" w14:textId="77777777">
        <w:tblPrEx>
          <w:tblCellMar>
            <w:top w:w="0" w:type="dxa"/>
            <w:bottom w:w="0" w:type="dxa"/>
          </w:tblCellMar>
        </w:tblPrEx>
        <w:tc>
          <w:tcPr>
            <w:tcW w:w="9400" w:type="dxa"/>
            <w:gridSpan w:val="4"/>
            <w:shd w:val="clear" w:color="auto" w:fill="FFCDD2"/>
          </w:tcPr>
          <w:p w14:paraId="7D2CCB9B" w14:textId="77777777" w:rsidR="005A18DA" w:rsidRDefault="00000000">
            <w:r>
              <w:rPr>
                <w:b/>
                <w:bCs/>
              </w:rPr>
              <w:t>SECTION 5 — Aggressive Scenario</w:t>
            </w:r>
          </w:p>
        </w:tc>
      </w:tr>
      <w:tr w:rsidR="005A18DA" w14:paraId="4834AFF1" w14:textId="77777777">
        <w:tblPrEx>
          <w:tblCellMar>
            <w:top w:w="0" w:type="dxa"/>
            <w:bottom w:w="0" w:type="dxa"/>
          </w:tblCellMar>
        </w:tblPrEx>
        <w:tc>
          <w:tcPr>
            <w:tcW w:w="2300" w:type="dxa"/>
          </w:tcPr>
          <w:p w14:paraId="2737C508" w14:textId="77777777" w:rsidR="005A18DA" w:rsidRDefault="00000000">
            <w:proofErr w:type="spellStart"/>
            <w:r>
              <w:t>Aggressive_StoriesUsed</w:t>
            </w:r>
            <w:proofErr w:type="spellEnd"/>
          </w:p>
        </w:tc>
        <w:tc>
          <w:tcPr>
            <w:tcW w:w="900" w:type="dxa"/>
          </w:tcPr>
          <w:p w14:paraId="218E8300" w14:textId="77777777" w:rsidR="005A18DA" w:rsidRDefault="00000000">
            <w:r>
              <w:t>Float</w:t>
            </w:r>
          </w:p>
        </w:tc>
        <w:tc>
          <w:tcPr>
            <w:tcW w:w="1600" w:type="dxa"/>
          </w:tcPr>
          <w:p w14:paraId="7344483A" w14:textId="77777777" w:rsidR="005A18DA" w:rsidRDefault="00000000">
            <w:r>
              <w:t>Stories</w:t>
            </w:r>
          </w:p>
        </w:tc>
        <w:tc>
          <w:tcPr>
            <w:tcW w:w="4600" w:type="dxa"/>
          </w:tcPr>
          <w:p w14:paraId="1D93BFE0" w14:textId="77777777" w:rsidR="005A18DA" w:rsidRDefault="00000000">
            <w:proofErr w:type="spellStart"/>
            <w:r>
              <w:t>tallest_building_stories</w:t>
            </w:r>
            <w:proofErr w:type="spellEnd"/>
            <w:r>
              <w:t xml:space="preserve"> × 100%. The building height </w:t>
            </w:r>
            <w:proofErr w:type="gramStart"/>
            <w:r>
              <w:t>actually used</w:t>
            </w:r>
            <w:proofErr w:type="gramEnd"/>
            <w:r>
              <w:t xml:space="preserve"> for new development under the Aggressive scenario.</w:t>
            </w:r>
          </w:p>
        </w:tc>
      </w:tr>
      <w:tr w:rsidR="005A18DA" w14:paraId="5CAFABB8" w14:textId="77777777">
        <w:tblPrEx>
          <w:tblCellMar>
            <w:top w:w="0" w:type="dxa"/>
            <w:bottom w:w="0" w:type="dxa"/>
          </w:tblCellMar>
        </w:tblPrEx>
        <w:tc>
          <w:tcPr>
            <w:tcW w:w="2300" w:type="dxa"/>
          </w:tcPr>
          <w:p w14:paraId="284E99E7" w14:textId="77777777" w:rsidR="005A18DA" w:rsidRDefault="00000000">
            <w:r>
              <w:t>Aggressive_BuildableFootprint_ft2</w:t>
            </w:r>
          </w:p>
        </w:tc>
        <w:tc>
          <w:tcPr>
            <w:tcW w:w="900" w:type="dxa"/>
          </w:tcPr>
          <w:p w14:paraId="6A72F53A" w14:textId="77777777" w:rsidR="005A18DA" w:rsidRDefault="00000000">
            <w:r>
              <w:t>Float</w:t>
            </w:r>
          </w:p>
        </w:tc>
        <w:tc>
          <w:tcPr>
            <w:tcW w:w="1600" w:type="dxa"/>
          </w:tcPr>
          <w:p w14:paraId="5736A8C1" w14:textId="77777777" w:rsidR="005A18DA" w:rsidRDefault="00000000">
            <w:r>
              <w:t>Square feet</w:t>
            </w:r>
          </w:p>
        </w:tc>
        <w:tc>
          <w:tcPr>
            <w:tcW w:w="4600" w:type="dxa"/>
          </w:tcPr>
          <w:p w14:paraId="66F4E986" w14:textId="77777777" w:rsidR="005A18DA" w:rsidRDefault="00000000">
            <w:r>
              <w:t>TotalParkingArea_ft2 × 85% lot coverage.</w:t>
            </w:r>
          </w:p>
        </w:tc>
      </w:tr>
      <w:tr w:rsidR="005A18DA" w14:paraId="7EA99DE9" w14:textId="77777777">
        <w:tblPrEx>
          <w:tblCellMar>
            <w:top w:w="0" w:type="dxa"/>
            <w:bottom w:w="0" w:type="dxa"/>
          </w:tblCellMar>
        </w:tblPrEx>
        <w:tc>
          <w:tcPr>
            <w:tcW w:w="2300" w:type="dxa"/>
          </w:tcPr>
          <w:p w14:paraId="5A5B9D37" w14:textId="77777777" w:rsidR="005A18DA" w:rsidRDefault="00000000">
            <w:proofErr w:type="spellStart"/>
            <w:r>
              <w:rPr>
                <w:b/>
                <w:bCs/>
              </w:rPr>
              <w:t>Aggressive_HousingUnits</w:t>
            </w:r>
            <w:proofErr w:type="spellEnd"/>
          </w:p>
        </w:tc>
        <w:tc>
          <w:tcPr>
            <w:tcW w:w="900" w:type="dxa"/>
          </w:tcPr>
          <w:p w14:paraId="07AB2BFD" w14:textId="77777777" w:rsidR="005A18DA" w:rsidRDefault="00000000">
            <w:r>
              <w:t>Integer</w:t>
            </w:r>
          </w:p>
        </w:tc>
        <w:tc>
          <w:tcPr>
            <w:tcW w:w="1600" w:type="dxa"/>
          </w:tcPr>
          <w:p w14:paraId="4CC336B1" w14:textId="77777777" w:rsidR="005A18DA" w:rsidRDefault="00000000">
            <w:r>
              <w:t>Housing units</w:t>
            </w:r>
          </w:p>
        </w:tc>
        <w:tc>
          <w:tcPr>
            <w:tcW w:w="4600" w:type="dxa"/>
          </w:tcPr>
          <w:p w14:paraId="7815FD76" w14:textId="77777777" w:rsidR="005A18DA" w:rsidRDefault="00000000">
            <w:r>
              <w:t xml:space="preserve">Estimated new housing units achievable under Aggressive assumptions (100% of tallest nearby building, 85% lot coverage, 10% of floor area reserved for commercial/public use, 800 sq ft per unit), using the station’s full, </w:t>
            </w:r>
            <w:proofErr w:type="spellStart"/>
            <w:r>
              <w:t>unprorated</w:t>
            </w:r>
            <w:proofErr w:type="spellEnd"/>
            <w:r>
              <w:t xml:space="preserve"> parking area.</w:t>
            </w:r>
          </w:p>
        </w:tc>
      </w:tr>
      <w:tr w:rsidR="005A18DA" w14:paraId="335C8005" w14:textId="77777777">
        <w:tblPrEx>
          <w:tblCellMar>
            <w:top w:w="0" w:type="dxa"/>
            <w:bottom w:w="0" w:type="dxa"/>
          </w:tblCellMar>
        </w:tblPrEx>
        <w:tc>
          <w:tcPr>
            <w:tcW w:w="2300" w:type="dxa"/>
          </w:tcPr>
          <w:p w14:paraId="4C1BF233" w14:textId="77777777" w:rsidR="005A18DA" w:rsidRDefault="00000000">
            <w:proofErr w:type="spellStart"/>
            <w:r>
              <w:rPr>
                <w:b/>
                <w:bCs/>
              </w:rPr>
              <w:t>Aggressive_HousingUnits_Prorated</w:t>
            </w:r>
            <w:proofErr w:type="spellEnd"/>
          </w:p>
        </w:tc>
        <w:tc>
          <w:tcPr>
            <w:tcW w:w="900" w:type="dxa"/>
          </w:tcPr>
          <w:p w14:paraId="6727606C" w14:textId="77777777" w:rsidR="005A18DA" w:rsidRDefault="00000000">
            <w:r>
              <w:t>Integer</w:t>
            </w:r>
          </w:p>
        </w:tc>
        <w:tc>
          <w:tcPr>
            <w:tcW w:w="1600" w:type="dxa"/>
          </w:tcPr>
          <w:p w14:paraId="6CAAFD87" w14:textId="77777777" w:rsidR="005A18DA" w:rsidRDefault="00000000">
            <w:r>
              <w:t>Housing units</w:t>
            </w:r>
          </w:p>
        </w:tc>
        <w:tc>
          <w:tcPr>
            <w:tcW w:w="4600" w:type="dxa"/>
          </w:tcPr>
          <w:p w14:paraId="76CD0C44" w14:textId="77777777" w:rsidR="005A18DA" w:rsidRDefault="00000000">
            <w:r>
              <w:t xml:space="preserve">The same Aggressive calculation, using TotalParkingArea_ft2_Prorated in place of the </w:t>
            </w:r>
            <w:proofErr w:type="spellStart"/>
            <w:r>
              <w:t>unprorated</w:t>
            </w:r>
            <w:proofErr w:type="spellEnd"/>
            <w:r>
              <w:t xml:space="preserve"> parking area. Use this figure when aggregating across multiple stations.</w:t>
            </w:r>
          </w:p>
        </w:tc>
      </w:tr>
    </w:tbl>
    <w:p w14:paraId="7EA80845" w14:textId="77777777" w:rsidR="005A18DA" w:rsidRDefault="00000000">
      <w:pPr>
        <w:pStyle w:val="Heading2"/>
        <w:spacing w:before="300"/>
      </w:pPr>
      <w:r>
        <w:t>Data Notes and Caveats</w:t>
      </w:r>
    </w:p>
    <w:p w14:paraId="0F5231B6" w14:textId="77777777" w:rsidR="005A18DA" w:rsidRDefault="00000000">
      <w:pPr>
        <w:spacing w:after="160"/>
      </w:pPr>
      <w:r>
        <w:rPr>
          <w:b/>
          <w:bCs/>
        </w:rPr>
        <w:lastRenderedPageBreak/>
        <w:t xml:space="preserve">Illustrative, not predictive. </w:t>
      </w:r>
      <w:r>
        <w:t>These figures are a zoning-agnostic, context-sensitive illustration of redevelopment potential, not a prediction of what will be built. Real development is subject to zoning, market conditions, ownership, financing, and many factors this analysis does not model.</w:t>
      </w:r>
    </w:p>
    <w:p w14:paraId="5F49C34B" w14:textId="77777777" w:rsidR="005A18DA" w:rsidRDefault="00000000">
      <w:pPr>
        <w:spacing w:after="160"/>
      </w:pPr>
      <w:r>
        <w:rPr>
          <w:b/>
          <w:bCs/>
        </w:rPr>
        <w:t xml:space="preserve">Prorated vs. </w:t>
      </w:r>
      <w:proofErr w:type="spellStart"/>
      <w:r>
        <w:rPr>
          <w:b/>
          <w:bCs/>
        </w:rPr>
        <w:t>unprorated</w:t>
      </w:r>
      <w:proofErr w:type="spellEnd"/>
      <w:r>
        <w:rPr>
          <w:b/>
          <w:bCs/>
        </w:rPr>
        <w:t xml:space="preserve"> figures. </w:t>
      </w:r>
      <w:r>
        <w:t xml:space="preserve">Use the _Prorated columns whenever summing or comparing housing potential across more than one station — </w:t>
      </w:r>
      <w:proofErr w:type="spellStart"/>
      <w:r>
        <w:t>unprorated</w:t>
      </w:r>
      <w:proofErr w:type="spellEnd"/>
      <w:r>
        <w:t xml:space="preserve"> figures assign the full nearby parking area to every overlapping station and will substantially overstate totals if added together. </w:t>
      </w:r>
      <w:proofErr w:type="spellStart"/>
      <w:r>
        <w:t>Unprorated</w:t>
      </w:r>
      <w:proofErr w:type="spellEnd"/>
      <w:r>
        <w:t xml:space="preserve"> figures are appropriate only when describing a single station in isolation.</w:t>
      </w:r>
    </w:p>
    <w:p w14:paraId="2BD60C95" w14:textId="77777777" w:rsidR="005A18DA" w:rsidRDefault="00000000">
      <w:pPr>
        <w:spacing w:after="160"/>
      </w:pPr>
      <w:r>
        <w:rPr>
          <w:b/>
          <w:bCs/>
        </w:rPr>
        <w:t xml:space="preserve">Proration method. </w:t>
      </w:r>
      <w:proofErr w:type="spellStart"/>
      <w:r>
        <w:t>proration_factor</w:t>
      </w:r>
      <w:proofErr w:type="spellEnd"/>
      <w:r>
        <w:t xml:space="preserve"> is a simple even split among overlapping stations (1 / (</w:t>
      </w:r>
      <w:proofErr w:type="spellStart"/>
      <w:r>
        <w:t>nearby_station_count</w:t>
      </w:r>
      <w:proofErr w:type="spellEnd"/>
      <w:r>
        <w:t xml:space="preserve"> + 1)), not an area-weighted geometric calculation of actual overlap. Stations with very different overlap geometry but the same overlap count receive the same proration factor.</w:t>
      </w:r>
    </w:p>
    <w:p w14:paraId="4DAD7F07" w14:textId="77777777" w:rsidR="005A18DA" w:rsidRDefault="00000000">
      <w:pPr>
        <w:spacing w:after="160"/>
      </w:pPr>
      <w:r>
        <w:rPr>
          <w:b/>
          <w:bCs/>
        </w:rPr>
        <w:t xml:space="preserve">Height source. </w:t>
      </w:r>
      <w:proofErr w:type="spellStart"/>
      <w:r>
        <w:t>tallest_building_stories</w:t>
      </w:r>
      <w:proofErr w:type="spellEnd"/>
      <w:r>
        <w:t xml:space="preserve"> is sourced from </w:t>
      </w:r>
      <w:proofErr w:type="spellStart"/>
      <w:r>
        <w:t>GlobalBuildingAtlas</w:t>
      </w:r>
      <w:proofErr w:type="spellEnd"/>
      <w:r>
        <w:t xml:space="preserve"> (GBA) for every station, rather than OpenStreetMap-tagged heights. GBA offers height data for effectively all buildings, where OpenStreetMap height tagging is highly incomplete and varies widely by station. In areas that were already well-mapped in OpenStreetMap, GBA’s height estimates run modestly lower on average than OSM’s own reported figures; in previously </w:t>
      </w:r>
      <w:proofErr w:type="spellStart"/>
      <w:r>
        <w:t>undermapped</w:t>
      </w:r>
      <w:proofErr w:type="spellEnd"/>
      <w:r>
        <w:t xml:space="preserve"> areas, GBA offers far more complete coverage than OSM had. This file favors that completeness.</w:t>
      </w:r>
    </w:p>
    <w:p w14:paraId="13EF13A6" w14:textId="77777777" w:rsidR="005A18DA" w:rsidRDefault="00000000">
      <w:pPr>
        <w:spacing w:after="160"/>
      </w:pPr>
      <w:r>
        <w:rPr>
          <w:b/>
          <w:bCs/>
        </w:rPr>
        <w:t xml:space="preserve">Parking threshold. </w:t>
      </w:r>
      <w:r>
        <w:t>Only individual parking facilities of 2,000 square meters or larger count toward TotalParkingArea_ft2. This excludes lots too small to realistically support standalone redevelopment, even where many small lots exist near a station.</w:t>
      </w:r>
    </w:p>
    <w:p w14:paraId="55D1948E" w14:textId="77777777" w:rsidR="005A18DA" w:rsidRDefault="00000000">
      <w:pPr>
        <w:spacing w:after="160"/>
      </w:pPr>
      <w:r>
        <w:rPr>
          <w:b/>
          <w:bCs/>
        </w:rPr>
        <w:t xml:space="preserve">Garage footprint. </w:t>
      </w:r>
      <w:r>
        <w:t>Parking area for garages reflects ground footprint only (the structure’s building outline), not cumulative floor area across multiple parking levels — consistent with using footprint, not parking capacity, as the basis for redevelopment potential.</w:t>
      </w:r>
    </w:p>
    <w:p w14:paraId="643CEFD7" w14:textId="77777777" w:rsidR="005A18DA" w:rsidRDefault="00000000">
      <w:pPr>
        <w:spacing w:after="160"/>
      </w:pPr>
      <w:r>
        <w:rPr>
          <w:b/>
          <w:bCs/>
        </w:rPr>
        <w:t xml:space="preserve">No minimum parking assumption. </w:t>
      </w:r>
      <w:r>
        <w:t>The analysis assumes parking minimums are eliminated within ½ mile of stations. This is a policy assumption for illustrative purposes, not a description of current zoning in most jurisdictions.</w:t>
      </w:r>
    </w:p>
    <w:p w14:paraId="10C9E64C" w14:textId="77777777" w:rsidR="005A18DA" w:rsidRDefault="00000000">
      <w:pPr>
        <w:spacing w:after="160"/>
      </w:pPr>
      <w:r>
        <w:rPr>
          <w:b/>
          <w:bCs/>
        </w:rPr>
        <w:t xml:space="preserve">Stations with zero estimated units. </w:t>
      </w:r>
      <w:r>
        <w:t>A station may show 0 housing units under one or both scenarios because it has no qualifying parking (TotalParkingArea_ft2 = 0) or no usable height data (</w:t>
      </w:r>
      <w:proofErr w:type="spellStart"/>
      <w:r>
        <w:t>tallest_building_stories</w:t>
      </w:r>
      <w:proofErr w:type="spellEnd"/>
      <w:r>
        <w:t xml:space="preserve"> = 0). A value of 0 does not necessarily mean the station area has no development potential — only that this analysis found no qualifying input to build on.</w:t>
      </w:r>
    </w:p>
    <w:sectPr w:rsidR="005A18D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46805"/>
    <w:multiLevelType w:val="hybridMultilevel"/>
    <w:tmpl w:val="9252D2DA"/>
    <w:lvl w:ilvl="0" w:tplc="A164FCFA">
      <w:start w:val="1"/>
      <w:numFmt w:val="bullet"/>
      <w:lvlText w:val="●"/>
      <w:lvlJc w:val="left"/>
      <w:pPr>
        <w:ind w:left="720" w:hanging="360"/>
      </w:pPr>
    </w:lvl>
    <w:lvl w:ilvl="1" w:tplc="D04A1E70">
      <w:start w:val="1"/>
      <w:numFmt w:val="bullet"/>
      <w:lvlText w:val="○"/>
      <w:lvlJc w:val="left"/>
      <w:pPr>
        <w:ind w:left="1440" w:hanging="360"/>
      </w:pPr>
    </w:lvl>
    <w:lvl w:ilvl="2" w:tplc="3014F468">
      <w:start w:val="1"/>
      <w:numFmt w:val="bullet"/>
      <w:lvlText w:val="■"/>
      <w:lvlJc w:val="left"/>
      <w:pPr>
        <w:ind w:left="2160" w:hanging="360"/>
      </w:pPr>
    </w:lvl>
    <w:lvl w:ilvl="3" w:tplc="E63E72C8">
      <w:start w:val="1"/>
      <w:numFmt w:val="bullet"/>
      <w:lvlText w:val="●"/>
      <w:lvlJc w:val="left"/>
      <w:pPr>
        <w:ind w:left="2880" w:hanging="360"/>
      </w:pPr>
    </w:lvl>
    <w:lvl w:ilvl="4" w:tplc="0498B874">
      <w:start w:val="1"/>
      <w:numFmt w:val="bullet"/>
      <w:lvlText w:val="○"/>
      <w:lvlJc w:val="left"/>
      <w:pPr>
        <w:ind w:left="3600" w:hanging="360"/>
      </w:pPr>
    </w:lvl>
    <w:lvl w:ilvl="5" w:tplc="EAEC1F36">
      <w:start w:val="1"/>
      <w:numFmt w:val="bullet"/>
      <w:lvlText w:val="■"/>
      <w:lvlJc w:val="left"/>
      <w:pPr>
        <w:ind w:left="4320" w:hanging="360"/>
      </w:pPr>
    </w:lvl>
    <w:lvl w:ilvl="6" w:tplc="BB844CDA">
      <w:start w:val="1"/>
      <w:numFmt w:val="bullet"/>
      <w:lvlText w:val="●"/>
      <w:lvlJc w:val="left"/>
      <w:pPr>
        <w:ind w:left="5040" w:hanging="360"/>
      </w:pPr>
    </w:lvl>
    <w:lvl w:ilvl="7" w:tplc="A03CB76A">
      <w:start w:val="1"/>
      <w:numFmt w:val="bullet"/>
      <w:lvlText w:val="●"/>
      <w:lvlJc w:val="left"/>
      <w:pPr>
        <w:ind w:left="5760" w:hanging="360"/>
      </w:pPr>
    </w:lvl>
    <w:lvl w:ilvl="8" w:tplc="049E8E86">
      <w:start w:val="1"/>
      <w:numFmt w:val="bullet"/>
      <w:lvlText w:val="●"/>
      <w:lvlJc w:val="left"/>
      <w:pPr>
        <w:ind w:left="6480" w:hanging="360"/>
      </w:pPr>
    </w:lvl>
  </w:abstractNum>
  <w:num w:numId="1" w16cid:durableId="9268399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8DA"/>
    <w:rsid w:val="00072207"/>
    <w:rsid w:val="00292E65"/>
    <w:rsid w:val="005A1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E86A9"/>
  <w15:docId w15:val="{A49139EB-FE34-4B2B-AFDE-660EC8CB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nsitorienteddiscoveries.com/" TargetMode="External"/><Relationship Id="rId5" Type="http://schemas.openxmlformats.org/officeDocument/2006/relationships/hyperlink" Target="https://source.coop/repositories/tge-labs/globalbuildingatlas-lod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1437</Words>
  <Characters>9145</Characters>
  <Application>Microsoft Office Word</Application>
  <DocSecurity>0</DocSecurity>
  <Lines>155</Lines>
  <Paragraphs>31</Paragraphs>
  <ScaleCrop>false</ScaleCrop>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Schneider</cp:lastModifiedBy>
  <cp:revision>2</cp:revision>
  <dcterms:created xsi:type="dcterms:W3CDTF">2026-08-24T16:31:00Z</dcterms:created>
  <dcterms:modified xsi:type="dcterms:W3CDTF">2026-08-24T16:43:00Z</dcterms:modified>
</cp:coreProperties>
</file>