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48CA8" w14:textId="77777777" w:rsidR="00966C94" w:rsidRDefault="00000000">
      <w:pPr>
        <w:pStyle w:val="Heading1"/>
      </w:pPr>
      <w:r>
        <w:t>Data Dictionary</w:t>
      </w:r>
    </w:p>
    <w:p w14:paraId="5B24B8B9" w14:textId="77777777" w:rsidR="00966C94" w:rsidRDefault="00000000">
      <w:pPr>
        <w:pStyle w:val="Heading2"/>
      </w:pPr>
      <w:r>
        <w:t>built_environment.csv</w:t>
      </w:r>
    </w:p>
    <w:p w14:paraId="2ACF6F6E" w14:textId="77777777" w:rsidR="00966C94" w:rsidRDefault="00000000">
      <w:pPr>
        <w:spacing w:after="60"/>
      </w:pPr>
      <w:r>
        <w:rPr>
          <w:b/>
          <w:bCs/>
        </w:rPr>
        <w:t>National Transit Station Atlas — Development Module (Built Environment)</w:t>
      </w:r>
    </w:p>
    <w:p w14:paraId="72F2A56D" w14:textId="77777777" w:rsidR="00966C94" w:rsidRDefault="00000000">
      <w:pPr>
        <w:spacing w:after="300"/>
      </w:pPr>
      <w:r>
        <w:t>Transit-Oriented Discoveries | Schneider Analytics LLC</w:t>
      </w:r>
    </w:p>
    <w:p w14:paraId="61C137F6" w14:textId="77777777" w:rsidR="00966C94" w:rsidRDefault="00000000">
      <w:pPr>
        <w:pStyle w:val="Heading2"/>
      </w:pPr>
      <w:r>
        <w:t>Overview</w:t>
      </w:r>
    </w:p>
    <w:p w14:paraId="4C8CD1D3" w14:textId="77777777" w:rsidR="00966C94" w:rsidRDefault="00000000">
      <w:pPr>
        <w:spacing w:after="160"/>
      </w:pPr>
      <w:r>
        <w:t>This file contains building statistics — height, footprint, and count — for three concentric rings around each transit station in the National Transit Station Atlas: an Inner ring (0–200 meters), a Middle ring (200–400 meters), and an Outer ring (400–800 meters, the full ½-mile analysis boundary). Each row represents one station; the file contains 5,115 rows across 34 columns.</w:t>
      </w:r>
    </w:p>
    <w:p w14:paraId="515A7659" w14:textId="77777777" w:rsidR="00966C94" w:rsidRDefault="00000000">
      <w:pPr>
        <w:spacing w:after="160"/>
      </w:pPr>
      <w:r>
        <w:t xml:space="preserve">This is a fused dataset, combining OpenStreetMap and </w:t>
      </w:r>
      <w:proofErr w:type="spellStart"/>
      <w:r>
        <w:t>GlobalBuildingAtlas</w:t>
      </w:r>
      <w:proofErr w:type="spellEnd"/>
      <w:r>
        <w:t xml:space="preserve"> (GBA) data rather than relying on either source alone. Building height (both the tallest building and the average height, per ring) is sourced from GBA for every station, since GBA provides height data for effectively all buildings while OpenStreetMap height tagging is highly incomplete. Building count and footprint area are sourced selectively: from GBA specifically for the roughly 838 stations where OpenStreetMap's own building coverage was found to be thin, and from OpenStreetMap everywhere else, since OSM's community-mapped data is generally more complete and more granular in already well-mapped areas. SECTION 5 documents exactly which source was used for which station and ring.</w:t>
      </w:r>
    </w:p>
    <w:p w14:paraId="167B275A" w14:textId="77777777" w:rsidR="00966C94" w:rsidRDefault="00000000">
      <w:pPr>
        <w:spacing w:after="160"/>
      </w:pPr>
      <w:r>
        <w:t xml:space="preserve">This file is the primary input to the Development page's building statistics, typology classification, and Development Pattern labels, and its ½-mile tallest-building figure is also independently used as the height constraint in </w:t>
      </w:r>
      <w:proofErr w:type="spellStart"/>
      <w:r>
        <w:t>housing_estimates.csv's</w:t>
      </w:r>
      <w:proofErr w:type="spellEnd"/>
      <w:r>
        <w:t xml:space="preserve"> redevelopment scenarios. See that file's data dictionary for how the height constraint feeds into housing potential estimates.</w:t>
      </w:r>
    </w:p>
    <w:p w14:paraId="0DA15435" w14:textId="77777777" w:rsidR="00966C94" w:rsidRDefault="00000000">
      <w:pPr>
        <w:pStyle w:val="Heading2"/>
      </w:pPr>
      <w:r>
        <w:t>Data Sources</w:t>
      </w:r>
    </w:p>
    <w:p w14:paraId="012824B0" w14:textId="77777777" w:rsidR="00966C94" w:rsidRDefault="00000000">
      <w:pPr>
        <w:spacing w:after="160"/>
      </w:pPr>
      <w:r>
        <w:rPr>
          <w:b/>
          <w:bCs/>
        </w:rPr>
        <w:t xml:space="preserve">Building </w:t>
      </w:r>
      <w:proofErr w:type="gramStart"/>
      <w:r>
        <w:rPr>
          <w:b/>
          <w:bCs/>
        </w:rPr>
        <w:t>height, and</w:t>
      </w:r>
      <w:proofErr w:type="gramEnd"/>
      <w:r>
        <w:rPr>
          <w:b/>
          <w:bCs/>
        </w:rPr>
        <w:t xml:space="preserve"> building count/footprint for </w:t>
      </w:r>
      <w:proofErr w:type="spellStart"/>
      <w:r>
        <w:rPr>
          <w:b/>
          <w:bCs/>
        </w:rPr>
        <w:t>undermapped</w:t>
      </w:r>
      <w:proofErr w:type="spellEnd"/>
      <w:r>
        <w:rPr>
          <w:b/>
          <w:bCs/>
        </w:rPr>
        <w:t xml:space="preserve"> stations: </w:t>
      </w:r>
      <w:proofErr w:type="spellStart"/>
      <w:r>
        <w:t>GlobalBuildingAtlas</w:t>
      </w:r>
      <w:proofErr w:type="spellEnd"/>
      <w:r>
        <w:t xml:space="preserve"> (GBA), </w:t>
      </w:r>
      <w:proofErr w:type="spellStart"/>
      <w:r>
        <w:t>Xiaoxiang</w:t>
      </w:r>
      <w:proofErr w:type="spellEnd"/>
      <w:r>
        <w:t xml:space="preserve"> Zhu’s group, Technical University of Munich (TUM). Building footprint data is licensed </w:t>
      </w:r>
      <w:proofErr w:type="spellStart"/>
      <w:r>
        <w:t>ODbL</w:t>
      </w:r>
      <w:proofErr w:type="spellEnd"/>
      <w:r>
        <w:t>; height/LoD1 data is licensed CC BY-NC 4.0 (non-commercial use only).</w:t>
      </w:r>
    </w:p>
    <w:p w14:paraId="7C142696" w14:textId="77777777" w:rsidR="00966C94" w:rsidRDefault="00000000">
      <w:pPr>
        <w:spacing w:after="160"/>
      </w:pPr>
      <w:r>
        <w:t xml:space="preserve">Accessed via a public Parquet conversion of the TUM release, hosted on Source Cooperative: </w:t>
      </w:r>
      <w:hyperlink r:id="rId5" w:history="1">
        <w:r>
          <w:rPr>
            <w:rStyle w:val="Hyperlink"/>
          </w:rPr>
          <w:t>https://source.coop/repositories/tge-labs/globalbuildingatlas-lod1</w:t>
        </w:r>
      </w:hyperlink>
    </w:p>
    <w:p w14:paraId="2C19409B" w14:textId="77777777" w:rsidR="00966C94" w:rsidRDefault="00000000">
      <w:pPr>
        <w:spacing w:after="160"/>
      </w:pPr>
      <w:r>
        <w:rPr>
          <w:b/>
          <w:bCs/>
        </w:rPr>
        <w:t xml:space="preserve">Building count/footprint for already-well-mapped stations: </w:t>
      </w:r>
      <w:r>
        <w:t xml:space="preserve">OpenStreetMap contributors, via the Overpass API. © OpenStreetMap contributors, licensed </w:t>
      </w:r>
      <w:proofErr w:type="spellStart"/>
      <w:r>
        <w:t>ODbL</w:t>
      </w:r>
      <w:proofErr w:type="spellEnd"/>
      <w:r>
        <w:t>.</w:t>
      </w:r>
    </w:p>
    <w:p w14:paraId="5FD03FEA" w14:textId="77777777" w:rsidR="00966C94" w:rsidRDefault="00000000">
      <w:pPr>
        <w:spacing w:after="160"/>
      </w:pPr>
      <w:r>
        <w:t xml:space="preserve">Station data: </w:t>
      </w:r>
      <w:hyperlink r:id="rId6" w:history="1">
        <w:r>
          <w:rPr>
            <w:rStyle w:val="Hyperlink"/>
          </w:rPr>
          <w:t>https://www.transitorienteddiscoveries.com/</w:t>
        </w:r>
      </w:hyperlink>
      <w:r>
        <w:t xml:space="preserve"> — Schneider Analytics LLC, National Transit Station Atlas.</w:t>
      </w:r>
    </w:p>
    <w:p w14:paraId="5330EA65" w14:textId="77777777" w:rsidR="00966C94" w:rsidRDefault="00000000">
      <w:pPr>
        <w:pStyle w:val="Heading2"/>
      </w:pPr>
      <w:r>
        <w:t>Column Reference</w:t>
      </w:r>
    </w:p>
    <w:p w14:paraId="169CFE3C" w14:textId="77777777" w:rsidR="00966C94" w:rsidRDefault="00000000">
      <w:pPr>
        <w:spacing w:after="160"/>
      </w:pPr>
      <w:r>
        <w:t>The table below defines all 34 columns in the file. Columns are grouped into 5 thematic sections — station identifiers, one section per ring, and data provenance — and section header rows are shaded pink. Columns marked in bold in the Column Name field are the primary identifiers and headline results.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20"/>
        <w:gridCol w:w="887"/>
        <w:gridCol w:w="1564"/>
        <w:gridCol w:w="4529"/>
      </w:tblGrid>
      <w:tr w:rsidR="00966C94" w14:paraId="7E766D48" w14:textId="77777777">
        <w:tblPrEx>
          <w:tblCellMar>
            <w:top w:w="0" w:type="dxa"/>
            <w:bottom w:w="0" w:type="dxa"/>
          </w:tblCellMar>
        </w:tblPrEx>
        <w:tc>
          <w:tcPr>
            <w:tcW w:w="2300" w:type="dxa"/>
            <w:shd w:val="clear" w:color="auto" w:fill="424242"/>
          </w:tcPr>
          <w:p w14:paraId="1FD1F999" w14:textId="77777777" w:rsidR="00966C94" w:rsidRDefault="00000000">
            <w:r>
              <w:rPr>
                <w:b/>
                <w:bCs/>
                <w:color w:val="FFFFFF"/>
              </w:rPr>
              <w:t>Column Name</w:t>
            </w:r>
          </w:p>
        </w:tc>
        <w:tc>
          <w:tcPr>
            <w:tcW w:w="900" w:type="dxa"/>
            <w:shd w:val="clear" w:color="auto" w:fill="424242"/>
          </w:tcPr>
          <w:p w14:paraId="55612617" w14:textId="77777777" w:rsidR="00966C94" w:rsidRDefault="00000000">
            <w:r>
              <w:rPr>
                <w:b/>
                <w:bCs/>
                <w:color w:val="FFFFFF"/>
              </w:rPr>
              <w:t>Data Type</w:t>
            </w:r>
          </w:p>
        </w:tc>
        <w:tc>
          <w:tcPr>
            <w:tcW w:w="1600" w:type="dxa"/>
            <w:shd w:val="clear" w:color="auto" w:fill="424242"/>
          </w:tcPr>
          <w:p w14:paraId="0AFF3373" w14:textId="77777777" w:rsidR="00966C94" w:rsidRDefault="00000000">
            <w:r>
              <w:rPr>
                <w:b/>
                <w:bCs/>
                <w:color w:val="FFFFFF"/>
              </w:rPr>
              <w:t>Unit / Values</w:t>
            </w:r>
          </w:p>
        </w:tc>
        <w:tc>
          <w:tcPr>
            <w:tcW w:w="4600" w:type="dxa"/>
            <w:shd w:val="clear" w:color="auto" w:fill="424242"/>
          </w:tcPr>
          <w:p w14:paraId="7B657640" w14:textId="77777777" w:rsidR="00966C94" w:rsidRDefault="00000000">
            <w:r>
              <w:rPr>
                <w:b/>
                <w:bCs/>
                <w:color w:val="FFFFFF"/>
              </w:rPr>
              <w:t>Definition</w:t>
            </w:r>
          </w:p>
        </w:tc>
      </w:tr>
      <w:tr w:rsidR="00966C94" w14:paraId="072412B1" w14:textId="77777777">
        <w:tblPrEx>
          <w:tblCellMar>
            <w:top w:w="0" w:type="dxa"/>
            <w:bottom w:w="0" w:type="dxa"/>
          </w:tblCellMar>
        </w:tblPrEx>
        <w:tc>
          <w:tcPr>
            <w:tcW w:w="9400" w:type="dxa"/>
            <w:gridSpan w:val="4"/>
            <w:shd w:val="clear" w:color="auto" w:fill="FFCDD2"/>
          </w:tcPr>
          <w:p w14:paraId="204B6310" w14:textId="77777777" w:rsidR="00966C94" w:rsidRDefault="00000000">
            <w:r>
              <w:rPr>
                <w:b/>
                <w:bCs/>
              </w:rPr>
              <w:t>SECTION 1 — Station Identifiers &amp; Location</w:t>
            </w:r>
          </w:p>
        </w:tc>
      </w:tr>
      <w:tr w:rsidR="00966C94" w14:paraId="5EC9BE98" w14:textId="77777777">
        <w:tblPrEx>
          <w:tblCellMar>
            <w:top w:w="0" w:type="dxa"/>
            <w:bottom w:w="0" w:type="dxa"/>
          </w:tblCellMar>
        </w:tblPrEx>
        <w:tc>
          <w:tcPr>
            <w:tcW w:w="2300" w:type="dxa"/>
          </w:tcPr>
          <w:p w14:paraId="0DEDB46B" w14:textId="77777777" w:rsidR="00966C94" w:rsidRDefault="00000000">
            <w:proofErr w:type="spellStart"/>
            <w:r>
              <w:rPr>
                <w:b/>
                <w:bCs/>
              </w:rPr>
              <w:t>station_id</w:t>
            </w:r>
            <w:proofErr w:type="spellEnd"/>
          </w:p>
        </w:tc>
        <w:tc>
          <w:tcPr>
            <w:tcW w:w="900" w:type="dxa"/>
          </w:tcPr>
          <w:p w14:paraId="732F3579" w14:textId="77777777" w:rsidR="00966C94" w:rsidRDefault="00000000">
            <w:r>
              <w:t>Integer</w:t>
            </w:r>
          </w:p>
        </w:tc>
        <w:tc>
          <w:tcPr>
            <w:tcW w:w="1600" w:type="dxa"/>
          </w:tcPr>
          <w:p w14:paraId="75236388" w14:textId="77777777" w:rsidR="00966C94" w:rsidRDefault="00000000">
            <w:r>
              <w:t>Unique integer ID</w:t>
            </w:r>
          </w:p>
        </w:tc>
        <w:tc>
          <w:tcPr>
            <w:tcW w:w="4600" w:type="dxa"/>
          </w:tcPr>
          <w:p w14:paraId="69AE4CEB" w14:textId="77777777" w:rsidR="00966C94" w:rsidRDefault="00000000">
            <w:r>
              <w:t xml:space="preserve">The National Transit Station Atlas station identifier. Corresponds to </w:t>
            </w:r>
            <w:proofErr w:type="spellStart"/>
            <w:r>
              <w:t>station_id</w:t>
            </w:r>
            <w:proofErr w:type="spellEnd"/>
            <w:r>
              <w:t xml:space="preserve"> in the Atlas Stations dataset and all other Atlas data tables (parking, housing, and 3D geometry data).</w:t>
            </w:r>
          </w:p>
        </w:tc>
      </w:tr>
      <w:tr w:rsidR="00966C94" w14:paraId="34EC042F" w14:textId="77777777">
        <w:tblPrEx>
          <w:tblCellMar>
            <w:top w:w="0" w:type="dxa"/>
            <w:bottom w:w="0" w:type="dxa"/>
          </w:tblCellMar>
        </w:tblPrEx>
        <w:tc>
          <w:tcPr>
            <w:tcW w:w="2300" w:type="dxa"/>
          </w:tcPr>
          <w:p w14:paraId="7CA1A448" w14:textId="77777777" w:rsidR="00966C94" w:rsidRDefault="00000000">
            <w:proofErr w:type="spellStart"/>
            <w:r>
              <w:t>station_name</w:t>
            </w:r>
            <w:proofErr w:type="spellEnd"/>
          </w:p>
        </w:tc>
        <w:tc>
          <w:tcPr>
            <w:tcW w:w="900" w:type="dxa"/>
          </w:tcPr>
          <w:p w14:paraId="602860E8" w14:textId="77777777" w:rsidR="00966C94" w:rsidRDefault="00000000">
            <w:r>
              <w:t>String</w:t>
            </w:r>
          </w:p>
        </w:tc>
        <w:tc>
          <w:tcPr>
            <w:tcW w:w="1600" w:type="dxa"/>
          </w:tcPr>
          <w:p w14:paraId="081A7CC6" w14:textId="77777777" w:rsidR="00966C94" w:rsidRDefault="00000000">
            <w:r>
              <w:t>Text</w:t>
            </w:r>
          </w:p>
        </w:tc>
        <w:tc>
          <w:tcPr>
            <w:tcW w:w="4600" w:type="dxa"/>
          </w:tcPr>
          <w:p w14:paraId="7B317F42" w14:textId="77777777" w:rsidR="00966C94" w:rsidRDefault="00000000">
            <w:r>
              <w:t>The name of the transit station, as recorded in the National Transit Station Atlas. Example: “SILVER SPRING STATION”.</w:t>
            </w:r>
          </w:p>
        </w:tc>
      </w:tr>
      <w:tr w:rsidR="00966C94" w14:paraId="770EC5B3" w14:textId="77777777">
        <w:tblPrEx>
          <w:tblCellMar>
            <w:top w:w="0" w:type="dxa"/>
            <w:bottom w:w="0" w:type="dxa"/>
          </w:tblCellMar>
        </w:tblPrEx>
        <w:tc>
          <w:tcPr>
            <w:tcW w:w="2300" w:type="dxa"/>
          </w:tcPr>
          <w:p w14:paraId="5D6946A1" w14:textId="77777777" w:rsidR="00966C94" w:rsidRDefault="00000000">
            <w:proofErr w:type="spellStart"/>
            <w:r>
              <w:t>ntd_mode</w:t>
            </w:r>
            <w:proofErr w:type="spellEnd"/>
          </w:p>
        </w:tc>
        <w:tc>
          <w:tcPr>
            <w:tcW w:w="900" w:type="dxa"/>
          </w:tcPr>
          <w:p w14:paraId="2AC77A3D" w14:textId="77777777" w:rsidR="00966C94" w:rsidRDefault="00000000">
            <w:r>
              <w:t>String</w:t>
            </w:r>
          </w:p>
        </w:tc>
        <w:tc>
          <w:tcPr>
            <w:tcW w:w="1600" w:type="dxa"/>
          </w:tcPr>
          <w:p w14:paraId="41A93147" w14:textId="77777777" w:rsidR="00966C94" w:rsidRDefault="00000000">
            <w:r>
              <w:t>Text</w:t>
            </w:r>
          </w:p>
        </w:tc>
        <w:tc>
          <w:tcPr>
            <w:tcW w:w="4600" w:type="dxa"/>
          </w:tcPr>
          <w:p w14:paraId="12D456B3" w14:textId="77777777" w:rsidR="00966C94" w:rsidRDefault="00000000">
            <w:r>
              <w:t>National Transit Database mode category for the station (e.g. Heavy Rail, Bus Rapid Transit, Ferry, Light Rail).</w:t>
            </w:r>
          </w:p>
        </w:tc>
      </w:tr>
      <w:tr w:rsidR="00966C94" w14:paraId="4C016B57" w14:textId="77777777">
        <w:tblPrEx>
          <w:tblCellMar>
            <w:top w:w="0" w:type="dxa"/>
            <w:bottom w:w="0" w:type="dxa"/>
          </w:tblCellMar>
        </w:tblPrEx>
        <w:tc>
          <w:tcPr>
            <w:tcW w:w="2300" w:type="dxa"/>
          </w:tcPr>
          <w:p w14:paraId="0CC35878" w14:textId="77777777" w:rsidR="00966C94" w:rsidRDefault="00000000">
            <w:r>
              <w:lastRenderedPageBreak/>
              <w:t>agency</w:t>
            </w:r>
          </w:p>
        </w:tc>
        <w:tc>
          <w:tcPr>
            <w:tcW w:w="900" w:type="dxa"/>
          </w:tcPr>
          <w:p w14:paraId="3D25B18F" w14:textId="77777777" w:rsidR="00966C94" w:rsidRDefault="00000000">
            <w:r>
              <w:t>String</w:t>
            </w:r>
          </w:p>
        </w:tc>
        <w:tc>
          <w:tcPr>
            <w:tcW w:w="1600" w:type="dxa"/>
          </w:tcPr>
          <w:p w14:paraId="6A199D1A" w14:textId="77777777" w:rsidR="00966C94" w:rsidRDefault="00000000">
            <w:r>
              <w:t>Text</w:t>
            </w:r>
          </w:p>
        </w:tc>
        <w:tc>
          <w:tcPr>
            <w:tcW w:w="4600" w:type="dxa"/>
          </w:tcPr>
          <w:p w14:paraId="73ACECB2" w14:textId="77777777" w:rsidR="00966C94" w:rsidRDefault="00000000">
            <w:r>
              <w:t>The name of the transit agency operating the station. Example: “Washington Metropolitan Area Transit Authority (WMATA)”.</w:t>
            </w:r>
          </w:p>
        </w:tc>
      </w:tr>
      <w:tr w:rsidR="00966C94" w14:paraId="1A4C8639" w14:textId="77777777">
        <w:tblPrEx>
          <w:tblCellMar>
            <w:top w:w="0" w:type="dxa"/>
            <w:bottom w:w="0" w:type="dxa"/>
          </w:tblCellMar>
        </w:tblPrEx>
        <w:tc>
          <w:tcPr>
            <w:tcW w:w="2300" w:type="dxa"/>
          </w:tcPr>
          <w:p w14:paraId="6D7FBA0D" w14:textId="77777777" w:rsidR="00966C94" w:rsidRDefault="00000000">
            <w:proofErr w:type="spellStart"/>
            <w:r>
              <w:t>line_name</w:t>
            </w:r>
            <w:proofErr w:type="spellEnd"/>
          </w:p>
        </w:tc>
        <w:tc>
          <w:tcPr>
            <w:tcW w:w="900" w:type="dxa"/>
          </w:tcPr>
          <w:p w14:paraId="58116F92" w14:textId="77777777" w:rsidR="00966C94" w:rsidRDefault="00000000">
            <w:r>
              <w:t>String</w:t>
            </w:r>
          </w:p>
        </w:tc>
        <w:tc>
          <w:tcPr>
            <w:tcW w:w="1600" w:type="dxa"/>
          </w:tcPr>
          <w:p w14:paraId="2FF20EC7" w14:textId="77777777" w:rsidR="00966C94" w:rsidRDefault="00000000">
            <w:r>
              <w:t>Text</w:t>
            </w:r>
          </w:p>
        </w:tc>
        <w:tc>
          <w:tcPr>
            <w:tcW w:w="4600" w:type="dxa"/>
          </w:tcPr>
          <w:p w14:paraId="742DC0DB" w14:textId="77777777" w:rsidR="00966C94" w:rsidRDefault="00000000">
            <w:r>
              <w:t>The transit line or route name associated with the station.</w:t>
            </w:r>
          </w:p>
        </w:tc>
      </w:tr>
      <w:tr w:rsidR="00966C94" w14:paraId="7FF0B24E" w14:textId="77777777">
        <w:tblPrEx>
          <w:tblCellMar>
            <w:top w:w="0" w:type="dxa"/>
            <w:bottom w:w="0" w:type="dxa"/>
          </w:tblCellMar>
        </w:tblPrEx>
        <w:tc>
          <w:tcPr>
            <w:tcW w:w="2300" w:type="dxa"/>
          </w:tcPr>
          <w:p w14:paraId="04C60B82" w14:textId="77777777" w:rsidR="00966C94" w:rsidRDefault="00000000">
            <w:r>
              <w:t>latitude</w:t>
            </w:r>
          </w:p>
        </w:tc>
        <w:tc>
          <w:tcPr>
            <w:tcW w:w="900" w:type="dxa"/>
          </w:tcPr>
          <w:p w14:paraId="3CB422B0" w14:textId="77777777" w:rsidR="00966C94" w:rsidRDefault="00000000">
            <w:r>
              <w:t>Float</w:t>
            </w:r>
          </w:p>
        </w:tc>
        <w:tc>
          <w:tcPr>
            <w:tcW w:w="1600" w:type="dxa"/>
          </w:tcPr>
          <w:p w14:paraId="65A39712" w14:textId="77777777" w:rsidR="00966C94" w:rsidRDefault="00000000">
            <w:r>
              <w:t>Decimal degrees (WGS 84)</w:t>
            </w:r>
          </w:p>
        </w:tc>
        <w:tc>
          <w:tcPr>
            <w:tcW w:w="4600" w:type="dxa"/>
          </w:tcPr>
          <w:p w14:paraId="4FE78546" w14:textId="77777777" w:rsidR="00966C94" w:rsidRDefault="00000000">
            <w:r>
              <w:t>Geographic latitude of the station, referenced to the WGS 84 datum.</w:t>
            </w:r>
          </w:p>
        </w:tc>
      </w:tr>
      <w:tr w:rsidR="00966C94" w14:paraId="54276E59" w14:textId="77777777">
        <w:tblPrEx>
          <w:tblCellMar>
            <w:top w:w="0" w:type="dxa"/>
            <w:bottom w:w="0" w:type="dxa"/>
          </w:tblCellMar>
        </w:tblPrEx>
        <w:tc>
          <w:tcPr>
            <w:tcW w:w="2300" w:type="dxa"/>
          </w:tcPr>
          <w:p w14:paraId="4FF55F68" w14:textId="77777777" w:rsidR="00966C94" w:rsidRDefault="00000000">
            <w:r>
              <w:t>longitude</w:t>
            </w:r>
          </w:p>
        </w:tc>
        <w:tc>
          <w:tcPr>
            <w:tcW w:w="900" w:type="dxa"/>
          </w:tcPr>
          <w:p w14:paraId="135A0967" w14:textId="77777777" w:rsidR="00966C94" w:rsidRDefault="00000000">
            <w:r>
              <w:t>Float</w:t>
            </w:r>
          </w:p>
        </w:tc>
        <w:tc>
          <w:tcPr>
            <w:tcW w:w="1600" w:type="dxa"/>
          </w:tcPr>
          <w:p w14:paraId="0027681F" w14:textId="77777777" w:rsidR="00966C94" w:rsidRDefault="00000000">
            <w:r>
              <w:t>Decimal degrees (WGS 84)</w:t>
            </w:r>
          </w:p>
        </w:tc>
        <w:tc>
          <w:tcPr>
            <w:tcW w:w="4600" w:type="dxa"/>
          </w:tcPr>
          <w:p w14:paraId="02D22D7B" w14:textId="77777777" w:rsidR="00966C94" w:rsidRDefault="00000000">
            <w:r>
              <w:t>Geographic longitude of the station (negative values indicate west longitude), referenced to the WGS 84 datum.</w:t>
            </w:r>
          </w:p>
        </w:tc>
      </w:tr>
      <w:tr w:rsidR="00966C94" w14:paraId="18773DEB" w14:textId="77777777">
        <w:tblPrEx>
          <w:tblCellMar>
            <w:top w:w="0" w:type="dxa"/>
            <w:bottom w:w="0" w:type="dxa"/>
          </w:tblCellMar>
        </w:tblPrEx>
        <w:tc>
          <w:tcPr>
            <w:tcW w:w="9400" w:type="dxa"/>
            <w:gridSpan w:val="4"/>
            <w:shd w:val="clear" w:color="auto" w:fill="FFCDD2"/>
          </w:tcPr>
          <w:p w14:paraId="07C12A0F" w14:textId="77777777" w:rsidR="00966C94" w:rsidRDefault="00000000">
            <w:r>
              <w:rPr>
                <w:b/>
                <w:bCs/>
              </w:rPr>
              <w:t>SECTION 2 — Inner Ring Building Stats (0–200 m)</w:t>
            </w:r>
          </w:p>
        </w:tc>
      </w:tr>
      <w:tr w:rsidR="00966C94" w14:paraId="7752D612" w14:textId="77777777">
        <w:tblPrEx>
          <w:tblCellMar>
            <w:top w:w="0" w:type="dxa"/>
            <w:bottom w:w="0" w:type="dxa"/>
          </w:tblCellMar>
        </w:tblPrEx>
        <w:tc>
          <w:tcPr>
            <w:tcW w:w="2300" w:type="dxa"/>
          </w:tcPr>
          <w:p w14:paraId="318F2A40" w14:textId="77777777" w:rsidR="00966C94" w:rsidRDefault="00000000">
            <w:proofErr w:type="spellStart"/>
            <w:r>
              <w:rPr>
                <w:b/>
                <w:bCs/>
              </w:rPr>
              <w:t>Inner_MaxHeight</w:t>
            </w:r>
            <w:proofErr w:type="spellEnd"/>
          </w:p>
        </w:tc>
        <w:tc>
          <w:tcPr>
            <w:tcW w:w="900" w:type="dxa"/>
          </w:tcPr>
          <w:p w14:paraId="5C54B6D6" w14:textId="77777777" w:rsidR="00966C94" w:rsidRDefault="00000000">
            <w:r>
              <w:t>Float</w:t>
            </w:r>
          </w:p>
        </w:tc>
        <w:tc>
          <w:tcPr>
            <w:tcW w:w="1600" w:type="dxa"/>
          </w:tcPr>
          <w:p w14:paraId="38F70490" w14:textId="77777777" w:rsidR="00966C94" w:rsidRDefault="00000000">
            <w:r>
              <w:t>Stories</w:t>
            </w:r>
          </w:p>
          <w:p w14:paraId="7776D376" w14:textId="77777777" w:rsidR="00966C94" w:rsidRDefault="00000000">
            <w:r>
              <w:t>(1 story ≈ 3.5 m)</w:t>
            </w:r>
          </w:p>
        </w:tc>
        <w:tc>
          <w:tcPr>
            <w:tcW w:w="4600" w:type="dxa"/>
          </w:tcPr>
          <w:p w14:paraId="249B5D31" w14:textId="77777777" w:rsidR="00966C94" w:rsidRDefault="00000000">
            <w:r>
              <w:t xml:space="preserve">Height of the tallest building within the 0–200 meter ring, in stories. Sourced from </w:t>
            </w:r>
            <w:proofErr w:type="spellStart"/>
            <w:r>
              <w:t>GlobalBuildingAtlas</w:t>
            </w:r>
            <w:proofErr w:type="spellEnd"/>
            <w:r>
              <w:t xml:space="preserve"> (GBA) for every station (see SECTION 5), converted from GBA's native meters using an assumed 3.5 meters per story.</w:t>
            </w:r>
          </w:p>
        </w:tc>
      </w:tr>
      <w:tr w:rsidR="00966C94" w14:paraId="485F84F8" w14:textId="77777777">
        <w:tblPrEx>
          <w:tblCellMar>
            <w:top w:w="0" w:type="dxa"/>
            <w:bottom w:w="0" w:type="dxa"/>
          </w:tblCellMar>
        </w:tblPrEx>
        <w:tc>
          <w:tcPr>
            <w:tcW w:w="2300" w:type="dxa"/>
          </w:tcPr>
          <w:p w14:paraId="3FEB765D" w14:textId="77777777" w:rsidR="00966C94" w:rsidRDefault="00000000">
            <w:proofErr w:type="spellStart"/>
            <w:r>
              <w:rPr>
                <w:b/>
                <w:bCs/>
              </w:rPr>
              <w:t>Inner_AvgHeight</w:t>
            </w:r>
            <w:proofErr w:type="spellEnd"/>
          </w:p>
        </w:tc>
        <w:tc>
          <w:tcPr>
            <w:tcW w:w="900" w:type="dxa"/>
          </w:tcPr>
          <w:p w14:paraId="47289125" w14:textId="77777777" w:rsidR="00966C94" w:rsidRDefault="00000000">
            <w:r>
              <w:t>Float</w:t>
            </w:r>
          </w:p>
        </w:tc>
        <w:tc>
          <w:tcPr>
            <w:tcW w:w="1600" w:type="dxa"/>
          </w:tcPr>
          <w:p w14:paraId="7A551D97" w14:textId="77777777" w:rsidR="00966C94" w:rsidRDefault="00000000">
            <w:r>
              <w:t>Stories</w:t>
            </w:r>
          </w:p>
        </w:tc>
        <w:tc>
          <w:tcPr>
            <w:tcW w:w="4600" w:type="dxa"/>
          </w:tcPr>
          <w:p w14:paraId="2E5D324D" w14:textId="77777777" w:rsidR="00966C94" w:rsidRDefault="00000000">
            <w:r>
              <w:t>Average building height within the 0–200 meter ring, in stories. Also sourced from GBA for every station. Reflects the typical height of buildings in this ring, not just the single tallest one — used for the Development page's weighted-average-height and Development Pattern calculations.</w:t>
            </w:r>
          </w:p>
        </w:tc>
      </w:tr>
      <w:tr w:rsidR="00966C94" w14:paraId="5E34279B" w14:textId="77777777">
        <w:tblPrEx>
          <w:tblCellMar>
            <w:top w:w="0" w:type="dxa"/>
            <w:bottom w:w="0" w:type="dxa"/>
          </w:tblCellMar>
        </w:tblPrEx>
        <w:tc>
          <w:tcPr>
            <w:tcW w:w="2300" w:type="dxa"/>
          </w:tcPr>
          <w:p w14:paraId="137D057F" w14:textId="77777777" w:rsidR="00966C94" w:rsidRDefault="00000000">
            <w:proofErr w:type="spellStart"/>
            <w:r>
              <w:t>Inner_BuildingsWithHeight</w:t>
            </w:r>
            <w:proofErr w:type="spellEnd"/>
          </w:p>
        </w:tc>
        <w:tc>
          <w:tcPr>
            <w:tcW w:w="900" w:type="dxa"/>
          </w:tcPr>
          <w:p w14:paraId="3E48A617" w14:textId="77777777" w:rsidR="00966C94" w:rsidRDefault="00000000">
            <w:r>
              <w:t>Integer</w:t>
            </w:r>
          </w:p>
        </w:tc>
        <w:tc>
          <w:tcPr>
            <w:tcW w:w="1600" w:type="dxa"/>
          </w:tcPr>
          <w:p w14:paraId="041888BD" w14:textId="77777777" w:rsidR="00966C94" w:rsidRDefault="00000000">
            <w:r>
              <w:t>Count</w:t>
            </w:r>
          </w:p>
        </w:tc>
        <w:tc>
          <w:tcPr>
            <w:tcW w:w="4600" w:type="dxa"/>
          </w:tcPr>
          <w:p w14:paraId="3C427FF8" w14:textId="77777777" w:rsidR="00966C94" w:rsidRDefault="00000000">
            <w:r>
              <w:t xml:space="preserve">Number of buildings in the Inner ring </w:t>
            </w:r>
            <w:proofErr w:type="gramStart"/>
            <w:r>
              <w:t>with</w:t>
            </w:r>
            <w:proofErr w:type="gramEnd"/>
            <w:r>
              <w:t xml:space="preserve"> a known height. For stations/rings where </w:t>
            </w:r>
            <w:proofErr w:type="spellStart"/>
            <w:r>
              <w:t>Inner_CountsSource</w:t>
            </w:r>
            <w:proofErr w:type="spellEnd"/>
            <w:r>
              <w:t xml:space="preserve"> is "GBA", this equals </w:t>
            </w:r>
            <w:proofErr w:type="spellStart"/>
            <w:r>
              <w:t>Inner_TotalBuildings</w:t>
            </w:r>
            <w:proofErr w:type="spellEnd"/>
            <w:r>
              <w:t xml:space="preserve"> exactly, since GBA provides a height estimate for every building it counts. Where </w:t>
            </w:r>
            <w:proofErr w:type="spellStart"/>
            <w:r>
              <w:t>Inner_CountsSource</w:t>
            </w:r>
            <w:proofErr w:type="spellEnd"/>
            <w:r>
              <w:t xml:space="preserve"> is "OSM", this reflects OpenStreetMap's own height-tagging completeness for this ring, which varies widely by station.</w:t>
            </w:r>
          </w:p>
        </w:tc>
      </w:tr>
      <w:tr w:rsidR="00966C94" w14:paraId="1145DE6D" w14:textId="77777777">
        <w:tblPrEx>
          <w:tblCellMar>
            <w:top w:w="0" w:type="dxa"/>
            <w:bottom w:w="0" w:type="dxa"/>
          </w:tblCellMar>
        </w:tblPrEx>
        <w:tc>
          <w:tcPr>
            <w:tcW w:w="2300" w:type="dxa"/>
          </w:tcPr>
          <w:p w14:paraId="11E04F56" w14:textId="77777777" w:rsidR="00966C94" w:rsidRDefault="00000000">
            <w:proofErr w:type="spellStart"/>
            <w:r>
              <w:rPr>
                <w:b/>
                <w:bCs/>
              </w:rPr>
              <w:t>Inner_TotalBuildings</w:t>
            </w:r>
            <w:proofErr w:type="spellEnd"/>
          </w:p>
        </w:tc>
        <w:tc>
          <w:tcPr>
            <w:tcW w:w="900" w:type="dxa"/>
          </w:tcPr>
          <w:p w14:paraId="65504A8A" w14:textId="77777777" w:rsidR="00966C94" w:rsidRDefault="00000000">
            <w:r>
              <w:t>Integer</w:t>
            </w:r>
          </w:p>
        </w:tc>
        <w:tc>
          <w:tcPr>
            <w:tcW w:w="1600" w:type="dxa"/>
          </w:tcPr>
          <w:p w14:paraId="54488818" w14:textId="77777777" w:rsidR="00966C94" w:rsidRDefault="00000000">
            <w:r>
              <w:t>Count</w:t>
            </w:r>
          </w:p>
        </w:tc>
        <w:tc>
          <w:tcPr>
            <w:tcW w:w="4600" w:type="dxa"/>
          </w:tcPr>
          <w:p w14:paraId="7D99D323" w14:textId="77777777" w:rsidR="00966C94" w:rsidRDefault="00000000">
            <w:r>
              <w:t xml:space="preserve">Total number of buildings within the 0–200 meter ring. Sourced from GBA for stations where </w:t>
            </w:r>
            <w:proofErr w:type="spellStart"/>
            <w:r>
              <w:t>Inner_CountsSource</w:t>
            </w:r>
            <w:proofErr w:type="spellEnd"/>
            <w:r>
              <w:t xml:space="preserve"> is "GBA" (previously </w:t>
            </w:r>
            <w:proofErr w:type="spellStart"/>
            <w:r>
              <w:t>undermapped</w:t>
            </w:r>
            <w:proofErr w:type="spellEnd"/>
            <w:r>
              <w:t xml:space="preserve"> areas), and from OpenStreetMap otherwise. See SECTION 5 and Data Notes for how this selective sourcing works.</w:t>
            </w:r>
          </w:p>
        </w:tc>
      </w:tr>
      <w:tr w:rsidR="00966C94" w14:paraId="5F531849" w14:textId="77777777">
        <w:tblPrEx>
          <w:tblCellMar>
            <w:top w:w="0" w:type="dxa"/>
            <w:bottom w:w="0" w:type="dxa"/>
          </w:tblCellMar>
        </w:tblPrEx>
        <w:tc>
          <w:tcPr>
            <w:tcW w:w="2300" w:type="dxa"/>
          </w:tcPr>
          <w:p w14:paraId="4072C70D" w14:textId="77777777" w:rsidR="00966C94" w:rsidRDefault="00000000">
            <w:proofErr w:type="spellStart"/>
            <w:r>
              <w:t>Inner_TotalFootprint</w:t>
            </w:r>
            <w:proofErr w:type="spellEnd"/>
          </w:p>
        </w:tc>
        <w:tc>
          <w:tcPr>
            <w:tcW w:w="900" w:type="dxa"/>
          </w:tcPr>
          <w:p w14:paraId="0E4B1431" w14:textId="77777777" w:rsidR="00966C94" w:rsidRDefault="00000000">
            <w:r>
              <w:t>Float</w:t>
            </w:r>
          </w:p>
        </w:tc>
        <w:tc>
          <w:tcPr>
            <w:tcW w:w="1600" w:type="dxa"/>
          </w:tcPr>
          <w:p w14:paraId="715266CD" w14:textId="77777777" w:rsidR="00966C94" w:rsidRDefault="00000000">
            <w:r>
              <w:t>Square feet</w:t>
            </w:r>
          </w:p>
        </w:tc>
        <w:tc>
          <w:tcPr>
            <w:tcW w:w="4600" w:type="dxa"/>
          </w:tcPr>
          <w:p w14:paraId="013EBFDC" w14:textId="77777777" w:rsidR="00966C94" w:rsidRDefault="00000000">
            <w:r>
              <w:t xml:space="preserve">Total building footprint area within the 0–200 meter ring. Same source rule as </w:t>
            </w:r>
            <w:proofErr w:type="spellStart"/>
            <w:r>
              <w:t>Inner_TotalBuildings</w:t>
            </w:r>
            <w:proofErr w:type="spellEnd"/>
            <w:r>
              <w:t>.</w:t>
            </w:r>
          </w:p>
        </w:tc>
      </w:tr>
      <w:tr w:rsidR="00966C94" w14:paraId="187DA01C" w14:textId="77777777">
        <w:tblPrEx>
          <w:tblCellMar>
            <w:top w:w="0" w:type="dxa"/>
            <w:bottom w:w="0" w:type="dxa"/>
          </w:tblCellMar>
        </w:tblPrEx>
        <w:tc>
          <w:tcPr>
            <w:tcW w:w="2300" w:type="dxa"/>
          </w:tcPr>
          <w:p w14:paraId="11D79FA9" w14:textId="77777777" w:rsidR="00966C94" w:rsidRDefault="00000000">
            <w:proofErr w:type="spellStart"/>
            <w:r>
              <w:t>Inner_AvgFootprint</w:t>
            </w:r>
            <w:proofErr w:type="spellEnd"/>
          </w:p>
        </w:tc>
        <w:tc>
          <w:tcPr>
            <w:tcW w:w="900" w:type="dxa"/>
          </w:tcPr>
          <w:p w14:paraId="1814CDFE" w14:textId="77777777" w:rsidR="00966C94" w:rsidRDefault="00000000">
            <w:r>
              <w:t>Float</w:t>
            </w:r>
          </w:p>
        </w:tc>
        <w:tc>
          <w:tcPr>
            <w:tcW w:w="1600" w:type="dxa"/>
          </w:tcPr>
          <w:p w14:paraId="712F5A91" w14:textId="77777777" w:rsidR="00966C94" w:rsidRDefault="00000000">
            <w:r>
              <w:t>Square feet</w:t>
            </w:r>
          </w:p>
        </w:tc>
        <w:tc>
          <w:tcPr>
            <w:tcW w:w="4600" w:type="dxa"/>
          </w:tcPr>
          <w:p w14:paraId="40B26FF3" w14:textId="77777777" w:rsidR="00966C94" w:rsidRDefault="00000000">
            <w:proofErr w:type="spellStart"/>
            <w:r>
              <w:t>Inner_TotalFootprint</w:t>
            </w:r>
            <w:proofErr w:type="spellEnd"/>
            <w:r>
              <w:t xml:space="preserve"> ÷ </w:t>
            </w:r>
            <w:proofErr w:type="spellStart"/>
            <w:r>
              <w:t>Inner_TotalBuildings</w:t>
            </w:r>
            <w:proofErr w:type="spellEnd"/>
            <w:r>
              <w:t>.</w:t>
            </w:r>
          </w:p>
        </w:tc>
      </w:tr>
      <w:tr w:rsidR="00966C94" w14:paraId="4F64FC4F" w14:textId="77777777">
        <w:tblPrEx>
          <w:tblCellMar>
            <w:top w:w="0" w:type="dxa"/>
            <w:bottom w:w="0" w:type="dxa"/>
          </w:tblCellMar>
        </w:tblPrEx>
        <w:tc>
          <w:tcPr>
            <w:tcW w:w="9400" w:type="dxa"/>
            <w:gridSpan w:val="4"/>
            <w:shd w:val="clear" w:color="auto" w:fill="FFCDD2"/>
          </w:tcPr>
          <w:p w14:paraId="26741C0E" w14:textId="77777777" w:rsidR="00966C94" w:rsidRDefault="00000000">
            <w:r>
              <w:rPr>
                <w:b/>
                <w:bCs/>
              </w:rPr>
              <w:t>SECTION 3 — Middle Ring Building Stats (200–400 m)</w:t>
            </w:r>
          </w:p>
        </w:tc>
      </w:tr>
      <w:tr w:rsidR="00966C94" w14:paraId="66CE263B" w14:textId="77777777">
        <w:tblPrEx>
          <w:tblCellMar>
            <w:top w:w="0" w:type="dxa"/>
            <w:bottom w:w="0" w:type="dxa"/>
          </w:tblCellMar>
        </w:tblPrEx>
        <w:tc>
          <w:tcPr>
            <w:tcW w:w="2300" w:type="dxa"/>
          </w:tcPr>
          <w:p w14:paraId="70303784" w14:textId="77777777" w:rsidR="00966C94" w:rsidRDefault="00000000">
            <w:proofErr w:type="spellStart"/>
            <w:r>
              <w:rPr>
                <w:b/>
                <w:bCs/>
              </w:rPr>
              <w:t>Middle_MaxHeight</w:t>
            </w:r>
            <w:proofErr w:type="spellEnd"/>
          </w:p>
        </w:tc>
        <w:tc>
          <w:tcPr>
            <w:tcW w:w="900" w:type="dxa"/>
          </w:tcPr>
          <w:p w14:paraId="04CEB479" w14:textId="77777777" w:rsidR="00966C94" w:rsidRDefault="00000000">
            <w:r>
              <w:t>Float</w:t>
            </w:r>
          </w:p>
        </w:tc>
        <w:tc>
          <w:tcPr>
            <w:tcW w:w="1600" w:type="dxa"/>
          </w:tcPr>
          <w:p w14:paraId="08EE40A1" w14:textId="77777777" w:rsidR="00966C94" w:rsidRDefault="00000000">
            <w:r>
              <w:t>Stories</w:t>
            </w:r>
          </w:p>
          <w:p w14:paraId="37321C95" w14:textId="77777777" w:rsidR="00966C94" w:rsidRDefault="00000000">
            <w:r>
              <w:t>(1 story ≈ 3.5 m)</w:t>
            </w:r>
          </w:p>
        </w:tc>
        <w:tc>
          <w:tcPr>
            <w:tcW w:w="4600" w:type="dxa"/>
          </w:tcPr>
          <w:p w14:paraId="187F4D88" w14:textId="77777777" w:rsidR="00966C94" w:rsidRDefault="00000000">
            <w:r>
              <w:t xml:space="preserve">Height of the tallest building within the 200–400 meter ring, in stories. Sourced from </w:t>
            </w:r>
            <w:proofErr w:type="spellStart"/>
            <w:r>
              <w:t>GlobalBuildingAtlas</w:t>
            </w:r>
            <w:proofErr w:type="spellEnd"/>
            <w:r>
              <w:t xml:space="preserve"> (GBA) for every station (see SECTION 5), converted from GBA's native meters using an assumed 3.5 meters per story.</w:t>
            </w:r>
          </w:p>
        </w:tc>
      </w:tr>
      <w:tr w:rsidR="00966C94" w14:paraId="17C297B3" w14:textId="77777777">
        <w:tblPrEx>
          <w:tblCellMar>
            <w:top w:w="0" w:type="dxa"/>
            <w:bottom w:w="0" w:type="dxa"/>
          </w:tblCellMar>
        </w:tblPrEx>
        <w:tc>
          <w:tcPr>
            <w:tcW w:w="2300" w:type="dxa"/>
          </w:tcPr>
          <w:p w14:paraId="0D9D9EBF" w14:textId="77777777" w:rsidR="00966C94" w:rsidRDefault="00000000">
            <w:proofErr w:type="spellStart"/>
            <w:r>
              <w:rPr>
                <w:b/>
                <w:bCs/>
              </w:rPr>
              <w:t>Middle_AvgHeight</w:t>
            </w:r>
            <w:proofErr w:type="spellEnd"/>
          </w:p>
        </w:tc>
        <w:tc>
          <w:tcPr>
            <w:tcW w:w="900" w:type="dxa"/>
          </w:tcPr>
          <w:p w14:paraId="72DFBBC8" w14:textId="77777777" w:rsidR="00966C94" w:rsidRDefault="00000000">
            <w:r>
              <w:t>Float</w:t>
            </w:r>
          </w:p>
        </w:tc>
        <w:tc>
          <w:tcPr>
            <w:tcW w:w="1600" w:type="dxa"/>
          </w:tcPr>
          <w:p w14:paraId="0C33E2EB" w14:textId="77777777" w:rsidR="00966C94" w:rsidRDefault="00000000">
            <w:r>
              <w:t>Stories</w:t>
            </w:r>
          </w:p>
        </w:tc>
        <w:tc>
          <w:tcPr>
            <w:tcW w:w="4600" w:type="dxa"/>
          </w:tcPr>
          <w:p w14:paraId="3D94FD34" w14:textId="77777777" w:rsidR="00966C94" w:rsidRDefault="00000000">
            <w:r>
              <w:t>Average building height within the 200–400 meter ring, in stories. Also sourced from GBA for every station. Reflects the typical height of buildings in this ring, not just the single tallest one — used for the Development page's weighted-average-height and Development Pattern calculations.</w:t>
            </w:r>
          </w:p>
        </w:tc>
      </w:tr>
      <w:tr w:rsidR="00966C94" w14:paraId="29C941AF" w14:textId="77777777">
        <w:tblPrEx>
          <w:tblCellMar>
            <w:top w:w="0" w:type="dxa"/>
            <w:bottom w:w="0" w:type="dxa"/>
          </w:tblCellMar>
        </w:tblPrEx>
        <w:tc>
          <w:tcPr>
            <w:tcW w:w="2300" w:type="dxa"/>
          </w:tcPr>
          <w:p w14:paraId="1F425F68" w14:textId="77777777" w:rsidR="00966C94" w:rsidRDefault="00000000">
            <w:proofErr w:type="spellStart"/>
            <w:r>
              <w:t>Middle_BuildingsWithHeight</w:t>
            </w:r>
            <w:proofErr w:type="spellEnd"/>
          </w:p>
        </w:tc>
        <w:tc>
          <w:tcPr>
            <w:tcW w:w="900" w:type="dxa"/>
          </w:tcPr>
          <w:p w14:paraId="5052E728" w14:textId="77777777" w:rsidR="00966C94" w:rsidRDefault="00000000">
            <w:r>
              <w:t>Integer</w:t>
            </w:r>
          </w:p>
        </w:tc>
        <w:tc>
          <w:tcPr>
            <w:tcW w:w="1600" w:type="dxa"/>
          </w:tcPr>
          <w:p w14:paraId="177AC339" w14:textId="77777777" w:rsidR="00966C94" w:rsidRDefault="00000000">
            <w:r>
              <w:t>Count</w:t>
            </w:r>
          </w:p>
        </w:tc>
        <w:tc>
          <w:tcPr>
            <w:tcW w:w="4600" w:type="dxa"/>
          </w:tcPr>
          <w:p w14:paraId="5BA02571" w14:textId="77777777" w:rsidR="00966C94" w:rsidRDefault="00000000">
            <w:r>
              <w:t xml:space="preserve">Number of buildings in the Middle ring </w:t>
            </w:r>
            <w:proofErr w:type="gramStart"/>
            <w:r>
              <w:t>with</w:t>
            </w:r>
            <w:proofErr w:type="gramEnd"/>
            <w:r>
              <w:t xml:space="preserve"> a known height. For stations/rings where </w:t>
            </w:r>
            <w:proofErr w:type="spellStart"/>
            <w:r>
              <w:t>Middle_CountsSource</w:t>
            </w:r>
            <w:proofErr w:type="spellEnd"/>
            <w:r>
              <w:t xml:space="preserve"> is "GBA", this equals </w:t>
            </w:r>
            <w:proofErr w:type="spellStart"/>
            <w:r>
              <w:t>Middle_TotalBuildings</w:t>
            </w:r>
            <w:proofErr w:type="spellEnd"/>
            <w:r>
              <w:t xml:space="preserve"> exactly, since GBA provides a height estimate for every </w:t>
            </w:r>
            <w:r>
              <w:lastRenderedPageBreak/>
              <w:t xml:space="preserve">building it counts. Where </w:t>
            </w:r>
            <w:proofErr w:type="spellStart"/>
            <w:r>
              <w:t>Middle_CountsSource</w:t>
            </w:r>
            <w:proofErr w:type="spellEnd"/>
            <w:r>
              <w:t xml:space="preserve"> is "OSM", this reflects OpenStreetMap's own height-tagging completeness for this ring, which varies widely by station.</w:t>
            </w:r>
          </w:p>
        </w:tc>
      </w:tr>
      <w:tr w:rsidR="00966C94" w14:paraId="79AD2B59" w14:textId="77777777">
        <w:tblPrEx>
          <w:tblCellMar>
            <w:top w:w="0" w:type="dxa"/>
            <w:bottom w:w="0" w:type="dxa"/>
          </w:tblCellMar>
        </w:tblPrEx>
        <w:tc>
          <w:tcPr>
            <w:tcW w:w="2300" w:type="dxa"/>
          </w:tcPr>
          <w:p w14:paraId="28E9A40D" w14:textId="77777777" w:rsidR="00966C94" w:rsidRDefault="00000000">
            <w:proofErr w:type="spellStart"/>
            <w:r>
              <w:rPr>
                <w:b/>
                <w:bCs/>
              </w:rPr>
              <w:lastRenderedPageBreak/>
              <w:t>Middle_TotalBuildings</w:t>
            </w:r>
            <w:proofErr w:type="spellEnd"/>
          </w:p>
        </w:tc>
        <w:tc>
          <w:tcPr>
            <w:tcW w:w="900" w:type="dxa"/>
          </w:tcPr>
          <w:p w14:paraId="26475985" w14:textId="77777777" w:rsidR="00966C94" w:rsidRDefault="00000000">
            <w:r>
              <w:t>Integer</w:t>
            </w:r>
          </w:p>
        </w:tc>
        <w:tc>
          <w:tcPr>
            <w:tcW w:w="1600" w:type="dxa"/>
          </w:tcPr>
          <w:p w14:paraId="1A421225" w14:textId="77777777" w:rsidR="00966C94" w:rsidRDefault="00000000">
            <w:r>
              <w:t>Count</w:t>
            </w:r>
          </w:p>
        </w:tc>
        <w:tc>
          <w:tcPr>
            <w:tcW w:w="4600" w:type="dxa"/>
          </w:tcPr>
          <w:p w14:paraId="73BECC36" w14:textId="77777777" w:rsidR="00966C94" w:rsidRDefault="00000000">
            <w:r>
              <w:t xml:space="preserve">Total number of buildings within the 200–400 meter ring. Sourced from GBA for stations where </w:t>
            </w:r>
            <w:proofErr w:type="spellStart"/>
            <w:r>
              <w:t>Middle_CountsSource</w:t>
            </w:r>
            <w:proofErr w:type="spellEnd"/>
            <w:r>
              <w:t xml:space="preserve"> is "GBA" (previously </w:t>
            </w:r>
            <w:proofErr w:type="spellStart"/>
            <w:r>
              <w:t>undermapped</w:t>
            </w:r>
            <w:proofErr w:type="spellEnd"/>
            <w:r>
              <w:t xml:space="preserve"> areas), and from OpenStreetMap otherwise. See SECTION 5 and Data Notes for how this selective sourcing works.</w:t>
            </w:r>
          </w:p>
        </w:tc>
      </w:tr>
      <w:tr w:rsidR="00966C94" w14:paraId="5AE99D01" w14:textId="77777777">
        <w:tblPrEx>
          <w:tblCellMar>
            <w:top w:w="0" w:type="dxa"/>
            <w:bottom w:w="0" w:type="dxa"/>
          </w:tblCellMar>
        </w:tblPrEx>
        <w:tc>
          <w:tcPr>
            <w:tcW w:w="2300" w:type="dxa"/>
          </w:tcPr>
          <w:p w14:paraId="0364FFBB" w14:textId="77777777" w:rsidR="00966C94" w:rsidRDefault="00000000">
            <w:proofErr w:type="spellStart"/>
            <w:r>
              <w:t>Middle_TotalFootprint</w:t>
            </w:r>
            <w:proofErr w:type="spellEnd"/>
          </w:p>
        </w:tc>
        <w:tc>
          <w:tcPr>
            <w:tcW w:w="900" w:type="dxa"/>
          </w:tcPr>
          <w:p w14:paraId="54B348ED" w14:textId="77777777" w:rsidR="00966C94" w:rsidRDefault="00000000">
            <w:r>
              <w:t>Float</w:t>
            </w:r>
          </w:p>
        </w:tc>
        <w:tc>
          <w:tcPr>
            <w:tcW w:w="1600" w:type="dxa"/>
          </w:tcPr>
          <w:p w14:paraId="7D019B70" w14:textId="77777777" w:rsidR="00966C94" w:rsidRDefault="00000000">
            <w:r>
              <w:t>Square feet</w:t>
            </w:r>
          </w:p>
        </w:tc>
        <w:tc>
          <w:tcPr>
            <w:tcW w:w="4600" w:type="dxa"/>
          </w:tcPr>
          <w:p w14:paraId="41B514BE" w14:textId="77777777" w:rsidR="00966C94" w:rsidRDefault="00000000">
            <w:r>
              <w:t xml:space="preserve">Total building footprint area within the 200–400 meter ring. Same source rule as </w:t>
            </w:r>
            <w:proofErr w:type="spellStart"/>
            <w:r>
              <w:t>Middle_TotalBuildings</w:t>
            </w:r>
            <w:proofErr w:type="spellEnd"/>
            <w:r>
              <w:t>.</w:t>
            </w:r>
          </w:p>
        </w:tc>
      </w:tr>
      <w:tr w:rsidR="00966C94" w14:paraId="6A5E59EE" w14:textId="77777777">
        <w:tblPrEx>
          <w:tblCellMar>
            <w:top w:w="0" w:type="dxa"/>
            <w:bottom w:w="0" w:type="dxa"/>
          </w:tblCellMar>
        </w:tblPrEx>
        <w:tc>
          <w:tcPr>
            <w:tcW w:w="2300" w:type="dxa"/>
          </w:tcPr>
          <w:p w14:paraId="4F39235A" w14:textId="77777777" w:rsidR="00966C94" w:rsidRDefault="00000000">
            <w:proofErr w:type="spellStart"/>
            <w:r>
              <w:t>Middle_AvgFootprint</w:t>
            </w:r>
            <w:proofErr w:type="spellEnd"/>
          </w:p>
        </w:tc>
        <w:tc>
          <w:tcPr>
            <w:tcW w:w="900" w:type="dxa"/>
          </w:tcPr>
          <w:p w14:paraId="5E0E146D" w14:textId="77777777" w:rsidR="00966C94" w:rsidRDefault="00000000">
            <w:r>
              <w:t>Float</w:t>
            </w:r>
          </w:p>
        </w:tc>
        <w:tc>
          <w:tcPr>
            <w:tcW w:w="1600" w:type="dxa"/>
          </w:tcPr>
          <w:p w14:paraId="5D32868B" w14:textId="77777777" w:rsidR="00966C94" w:rsidRDefault="00000000">
            <w:r>
              <w:t>Square feet</w:t>
            </w:r>
          </w:p>
        </w:tc>
        <w:tc>
          <w:tcPr>
            <w:tcW w:w="4600" w:type="dxa"/>
          </w:tcPr>
          <w:p w14:paraId="76606061" w14:textId="77777777" w:rsidR="00966C94" w:rsidRDefault="00000000">
            <w:proofErr w:type="spellStart"/>
            <w:r>
              <w:t>Middle_TotalFootprint</w:t>
            </w:r>
            <w:proofErr w:type="spellEnd"/>
            <w:r>
              <w:t xml:space="preserve"> ÷ </w:t>
            </w:r>
            <w:proofErr w:type="spellStart"/>
            <w:r>
              <w:t>Middle_TotalBuildings</w:t>
            </w:r>
            <w:proofErr w:type="spellEnd"/>
            <w:r>
              <w:t>.</w:t>
            </w:r>
          </w:p>
        </w:tc>
      </w:tr>
      <w:tr w:rsidR="00966C94" w14:paraId="432D243B" w14:textId="77777777">
        <w:tblPrEx>
          <w:tblCellMar>
            <w:top w:w="0" w:type="dxa"/>
            <w:bottom w:w="0" w:type="dxa"/>
          </w:tblCellMar>
        </w:tblPrEx>
        <w:tc>
          <w:tcPr>
            <w:tcW w:w="9400" w:type="dxa"/>
            <w:gridSpan w:val="4"/>
            <w:shd w:val="clear" w:color="auto" w:fill="FFCDD2"/>
          </w:tcPr>
          <w:p w14:paraId="40ACE07E" w14:textId="77777777" w:rsidR="00966C94" w:rsidRDefault="00000000">
            <w:r>
              <w:rPr>
                <w:b/>
                <w:bCs/>
              </w:rPr>
              <w:t>SECTION 4 — Outer Ring Building Stats (400–800 m)</w:t>
            </w:r>
          </w:p>
        </w:tc>
      </w:tr>
      <w:tr w:rsidR="00966C94" w14:paraId="20935C15" w14:textId="77777777">
        <w:tblPrEx>
          <w:tblCellMar>
            <w:top w:w="0" w:type="dxa"/>
            <w:bottom w:w="0" w:type="dxa"/>
          </w:tblCellMar>
        </w:tblPrEx>
        <w:tc>
          <w:tcPr>
            <w:tcW w:w="2300" w:type="dxa"/>
          </w:tcPr>
          <w:p w14:paraId="35D3B8D6" w14:textId="77777777" w:rsidR="00966C94" w:rsidRDefault="00000000">
            <w:proofErr w:type="spellStart"/>
            <w:r>
              <w:rPr>
                <w:b/>
                <w:bCs/>
              </w:rPr>
              <w:t>Outer_MaxHeight</w:t>
            </w:r>
            <w:proofErr w:type="spellEnd"/>
          </w:p>
        </w:tc>
        <w:tc>
          <w:tcPr>
            <w:tcW w:w="900" w:type="dxa"/>
          </w:tcPr>
          <w:p w14:paraId="1666B593" w14:textId="77777777" w:rsidR="00966C94" w:rsidRDefault="00000000">
            <w:r>
              <w:t>Float</w:t>
            </w:r>
          </w:p>
        </w:tc>
        <w:tc>
          <w:tcPr>
            <w:tcW w:w="1600" w:type="dxa"/>
          </w:tcPr>
          <w:p w14:paraId="7D5074FB" w14:textId="77777777" w:rsidR="00966C94" w:rsidRDefault="00000000">
            <w:r>
              <w:t>Stories</w:t>
            </w:r>
          </w:p>
          <w:p w14:paraId="12A4C450" w14:textId="77777777" w:rsidR="00966C94" w:rsidRDefault="00000000">
            <w:r>
              <w:t>(1 story ≈ 3.5 m)</w:t>
            </w:r>
          </w:p>
        </w:tc>
        <w:tc>
          <w:tcPr>
            <w:tcW w:w="4600" w:type="dxa"/>
          </w:tcPr>
          <w:p w14:paraId="560BDFBE" w14:textId="77777777" w:rsidR="00966C94" w:rsidRDefault="00000000">
            <w:r>
              <w:t xml:space="preserve">Height of the tallest building within the 400–800 meter ring, in stories. Sourced from </w:t>
            </w:r>
            <w:proofErr w:type="spellStart"/>
            <w:r>
              <w:t>GlobalBuildingAtlas</w:t>
            </w:r>
            <w:proofErr w:type="spellEnd"/>
            <w:r>
              <w:t xml:space="preserve"> (GBA) for every station (see SECTION 5), converted from GBA's native meters using an assumed 3.5 meters per story.</w:t>
            </w:r>
          </w:p>
        </w:tc>
      </w:tr>
      <w:tr w:rsidR="00966C94" w14:paraId="2B2E6FD7" w14:textId="77777777">
        <w:tblPrEx>
          <w:tblCellMar>
            <w:top w:w="0" w:type="dxa"/>
            <w:bottom w:w="0" w:type="dxa"/>
          </w:tblCellMar>
        </w:tblPrEx>
        <w:tc>
          <w:tcPr>
            <w:tcW w:w="2300" w:type="dxa"/>
          </w:tcPr>
          <w:p w14:paraId="50406639" w14:textId="77777777" w:rsidR="00966C94" w:rsidRDefault="00000000">
            <w:proofErr w:type="spellStart"/>
            <w:r>
              <w:rPr>
                <w:b/>
                <w:bCs/>
              </w:rPr>
              <w:t>Outer_AvgHeight</w:t>
            </w:r>
            <w:proofErr w:type="spellEnd"/>
          </w:p>
        </w:tc>
        <w:tc>
          <w:tcPr>
            <w:tcW w:w="900" w:type="dxa"/>
          </w:tcPr>
          <w:p w14:paraId="519E7551" w14:textId="77777777" w:rsidR="00966C94" w:rsidRDefault="00000000">
            <w:r>
              <w:t>Float</w:t>
            </w:r>
          </w:p>
        </w:tc>
        <w:tc>
          <w:tcPr>
            <w:tcW w:w="1600" w:type="dxa"/>
          </w:tcPr>
          <w:p w14:paraId="470791BF" w14:textId="77777777" w:rsidR="00966C94" w:rsidRDefault="00000000">
            <w:r>
              <w:t>Stories</w:t>
            </w:r>
          </w:p>
        </w:tc>
        <w:tc>
          <w:tcPr>
            <w:tcW w:w="4600" w:type="dxa"/>
          </w:tcPr>
          <w:p w14:paraId="086F26C1" w14:textId="77777777" w:rsidR="00966C94" w:rsidRDefault="00000000">
            <w:r>
              <w:t>Average building height within the 400–800 meter ring, in stories. Also sourced from GBA for every station. Reflects the typical height of buildings in this ring, not just the single tallest one — used for the Development page's weighted-average-height and Development Pattern calculations.</w:t>
            </w:r>
          </w:p>
        </w:tc>
      </w:tr>
      <w:tr w:rsidR="00966C94" w14:paraId="3F7024FE" w14:textId="77777777">
        <w:tblPrEx>
          <w:tblCellMar>
            <w:top w:w="0" w:type="dxa"/>
            <w:bottom w:w="0" w:type="dxa"/>
          </w:tblCellMar>
        </w:tblPrEx>
        <w:tc>
          <w:tcPr>
            <w:tcW w:w="2300" w:type="dxa"/>
          </w:tcPr>
          <w:p w14:paraId="2F8547A6" w14:textId="77777777" w:rsidR="00966C94" w:rsidRDefault="00000000">
            <w:proofErr w:type="spellStart"/>
            <w:r>
              <w:t>Outer_BuildingsWithHeight</w:t>
            </w:r>
            <w:proofErr w:type="spellEnd"/>
          </w:p>
        </w:tc>
        <w:tc>
          <w:tcPr>
            <w:tcW w:w="900" w:type="dxa"/>
          </w:tcPr>
          <w:p w14:paraId="271A7C27" w14:textId="77777777" w:rsidR="00966C94" w:rsidRDefault="00000000">
            <w:r>
              <w:t>Integer</w:t>
            </w:r>
          </w:p>
        </w:tc>
        <w:tc>
          <w:tcPr>
            <w:tcW w:w="1600" w:type="dxa"/>
          </w:tcPr>
          <w:p w14:paraId="3E19BDA2" w14:textId="77777777" w:rsidR="00966C94" w:rsidRDefault="00000000">
            <w:r>
              <w:t>Count</w:t>
            </w:r>
          </w:p>
        </w:tc>
        <w:tc>
          <w:tcPr>
            <w:tcW w:w="4600" w:type="dxa"/>
          </w:tcPr>
          <w:p w14:paraId="7C8CC50B" w14:textId="77777777" w:rsidR="00966C94" w:rsidRDefault="00000000">
            <w:r>
              <w:t xml:space="preserve">Number of buildings in the Outer ring with a known height. For stations/rings where </w:t>
            </w:r>
            <w:proofErr w:type="spellStart"/>
            <w:r>
              <w:t>Outer_CountsSource</w:t>
            </w:r>
            <w:proofErr w:type="spellEnd"/>
            <w:r>
              <w:t xml:space="preserve"> is "GBA", this equals </w:t>
            </w:r>
            <w:proofErr w:type="spellStart"/>
            <w:r>
              <w:t>Outer_TotalBuildings</w:t>
            </w:r>
            <w:proofErr w:type="spellEnd"/>
            <w:r>
              <w:t xml:space="preserve"> exactly, since GBA provides a height estimate for every building it counts. Where </w:t>
            </w:r>
            <w:proofErr w:type="spellStart"/>
            <w:r>
              <w:t>Outer_CountsSource</w:t>
            </w:r>
            <w:proofErr w:type="spellEnd"/>
            <w:r>
              <w:t xml:space="preserve"> is "OSM", this reflects OpenStreetMap's own height-tagging completeness for this ring, which varies widely by station.</w:t>
            </w:r>
          </w:p>
        </w:tc>
      </w:tr>
      <w:tr w:rsidR="00966C94" w14:paraId="3F63E0D4" w14:textId="77777777">
        <w:tblPrEx>
          <w:tblCellMar>
            <w:top w:w="0" w:type="dxa"/>
            <w:bottom w:w="0" w:type="dxa"/>
          </w:tblCellMar>
        </w:tblPrEx>
        <w:tc>
          <w:tcPr>
            <w:tcW w:w="2300" w:type="dxa"/>
          </w:tcPr>
          <w:p w14:paraId="4C47F0A0" w14:textId="77777777" w:rsidR="00966C94" w:rsidRDefault="00000000">
            <w:proofErr w:type="spellStart"/>
            <w:r>
              <w:rPr>
                <w:b/>
                <w:bCs/>
              </w:rPr>
              <w:t>Outer_TotalBuildings</w:t>
            </w:r>
            <w:proofErr w:type="spellEnd"/>
          </w:p>
        </w:tc>
        <w:tc>
          <w:tcPr>
            <w:tcW w:w="900" w:type="dxa"/>
          </w:tcPr>
          <w:p w14:paraId="7EE7077B" w14:textId="77777777" w:rsidR="00966C94" w:rsidRDefault="00000000">
            <w:r>
              <w:t>Integer</w:t>
            </w:r>
          </w:p>
        </w:tc>
        <w:tc>
          <w:tcPr>
            <w:tcW w:w="1600" w:type="dxa"/>
          </w:tcPr>
          <w:p w14:paraId="00170654" w14:textId="77777777" w:rsidR="00966C94" w:rsidRDefault="00000000">
            <w:r>
              <w:t>Count</w:t>
            </w:r>
          </w:p>
        </w:tc>
        <w:tc>
          <w:tcPr>
            <w:tcW w:w="4600" w:type="dxa"/>
          </w:tcPr>
          <w:p w14:paraId="0E5A75BF" w14:textId="77777777" w:rsidR="00966C94" w:rsidRDefault="00000000">
            <w:r>
              <w:t xml:space="preserve">Total number of buildings within the 400–800 meter ring. Sourced from GBA for stations where </w:t>
            </w:r>
            <w:proofErr w:type="spellStart"/>
            <w:r>
              <w:t>Outer_CountsSource</w:t>
            </w:r>
            <w:proofErr w:type="spellEnd"/>
            <w:r>
              <w:t xml:space="preserve"> is "GBA" (previously </w:t>
            </w:r>
            <w:proofErr w:type="spellStart"/>
            <w:r>
              <w:t>undermapped</w:t>
            </w:r>
            <w:proofErr w:type="spellEnd"/>
            <w:r>
              <w:t xml:space="preserve"> areas), and from OpenStreetMap otherwise. See SECTION 5 and Data Notes for how this selective sourcing works.</w:t>
            </w:r>
          </w:p>
        </w:tc>
      </w:tr>
      <w:tr w:rsidR="00966C94" w14:paraId="2C234442" w14:textId="77777777">
        <w:tblPrEx>
          <w:tblCellMar>
            <w:top w:w="0" w:type="dxa"/>
            <w:bottom w:w="0" w:type="dxa"/>
          </w:tblCellMar>
        </w:tblPrEx>
        <w:tc>
          <w:tcPr>
            <w:tcW w:w="2300" w:type="dxa"/>
          </w:tcPr>
          <w:p w14:paraId="75B4EE3D" w14:textId="77777777" w:rsidR="00966C94" w:rsidRDefault="00000000">
            <w:proofErr w:type="spellStart"/>
            <w:r>
              <w:t>Outer_TotalFootprint</w:t>
            </w:r>
            <w:proofErr w:type="spellEnd"/>
          </w:p>
        </w:tc>
        <w:tc>
          <w:tcPr>
            <w:tcW w:w="900" w:type="dxa"/>
          </w:tcPr>
          <w:p w14:paraId="39247DE4" w14:textId="77777777" w:rsidR="00966C94" w:rsidRDefault="00000000">
            <w:r>
              <w:t>Float</w:t>
            </w:r>
          </w:p>
        </w:tc>
        <w:tc>
          <w:tcPr>
            <w:tcW w:w="1600" w:type="dxa"/>
          </w:tcPr>
          <w:p w14:paraId="47FE64AD" w14:textId="77777777" w:rsidR="00966C94" w:rsidRDefault="00000000">
            <w:r>
              <w:t>Square feet</w:t>
            </w:r>
          </w:p>
        </w:tc>
        <w:tc>
          <w:tcPr>
            <w:tcW w:w="4600" w:type="dxa"/>
          </w:tcPr>
          <w:p w14:paraId="05691A51" w14:textId="77777777" w:rsidR="00966C94" w:rsidRDefault="00000000">
            <w:r>
              <w:t xml:space="preserve">Total building footprint area within the 400–800 meter ring. Same source rule as </w:t>
            </w:r>
            <w:proofErr w:type="spellStart"/>
            <w:r>
              <w:t>Outer_TotalBuildings</w:t>
            </w:r>
            <w:proofErr w:type="spellEnd"/>
            <w:r>
              <w:t>.</w:t>
            </w:r>
          </w:p>
        </w:tc>
      </w:tr>
      <w:tr w:rsidR="00966C94" w14:paraId="4ECDE2A9" w14:textId="77777777">
        <w:tblPrEx>
          <w:tblCellMar>
            <w:top w:w="0" w:type="dxa"/>
            <w:bottom w:w="0" w:type="dxa"/>
          </w:tblCellMar>
        </w:tblPrEx>
        <w:tc>
          <w:tcPr>
            <w:tcW w:w="2300" w:type="dxa"/>
          </w:tcPr>
          <w:p w14:paraId="5FFE5F9B" w14:textId="77777777" w:rsidR="00966C94" w:rsidRDefault="00000000">
            <w:proofErr w:type="spellStart"/>
            <w:r>
              <w:t>Outer_AvgFootprint</w:t>
            </w:r>
            <w:proofErr w:type="spellEnd"/>
          </w:p>
        </w:tc>
        <w:tc>
          <w:tcPr>
            <w:tcW w:w="900" w:type="dxa"/>
          </w:tcPr>
          <w:p w14:paraId="3CA6B006" w14:textId="77777777" w:rsidR="00966C94" w:rsidRDefault="00000000">
            <w:r>
              <w:t>Float</w:t>
            </w:r>
          </w:p>
        </w:tc>
        <w:tc>
          <w:tcPr>
            <w:tcW w:w="1600" w:type="dxa"/>
          </w:tcPr>
          <w:p w14:paraId="61BBB38A" w14:textId="77777777" w:rsidR="00966C94" w:rsidRDefault="00000000">
            <w:r>
              <w:t>Square feet</w:t>
            </w:r>
          </w:p>
        </w:tc>
        <w:tc>
          <w:tcPr>
            <w:tcW w:w="4600" w:type="dxa"/>
          </w:tcPr>
          <w:p w14:paraId="78E39B68" w14:textId="77777777" w:rsidR="00966C94" w:rsidRDefault="00000000">
            <w:proofErr w:type="spellStart"/>
            <w:r>
              <w:t>Outer_TotalFootprint</w:t>
            </w:r>
            <w:proofErr w:type="spellEnd"/>
            <w:r>
              <w:t xml:space="preserve"> ÷ </w:t>
            </w:r>
            <w:proofErr w:type="spellStart"/>
            <w:r>
              <w:t>Outer_TotalBuildings</w:t>
            </w:r>
            <w:proofErr w:type="spellEnd"/>
            <w:r>
              <w:t>.</w:t>
            </w:r>
          </w:p>
        </w:tc>
      </w:tr>
      <w:tr w:rsidR="00966C94" w14:paraId="21089020" w14:textId="77777777">
        <w:tblPrEx>
          <w:tblCellMar>
            <w:top w:w="0" w:type="dxa"/>
            <w:bottom w:w="0" w:type="dxa"/>
          </w:tblCellMar>
        </w:tblPrEx>
        <w:tc>
          <w:tcPr>
            <w:tcW w:w="9400" w:type="dxa"/>
            <w:gridSpan w:val="4"/>
            <w:shd w:val="clear" w:color="auto" w:fill="FFCDD2"/>
          </w:tcPr>
          <w:p w14:paraId="4B7D4D3A" w14:textId="77777777" w:rsidR="00966C94" w:rsidRDefault="00000000">
            <w:r>
              <w:rPr>
                <w:b/>
                <w:bCs/>
              </w:rPr>
              <w:t>SECTION 5 — Data Provenance (GBA vs. OpenStreetMap)</w:t>
            </w:r>
          </w:p>
        </w:tc>
      </w:tr>
      <w:tr w:rsidR="00966C94" w14:paraId="1D97C977" w14:textId="77777777">
        <w:tblPrEx>
          <w:tblCellMar>
            <w:top w:w="0" w:type="dxa"/>
            <w:bottom w:w="0" w:type="dxa"/>
          </w:tblCellMar>
        </w:tblPrEx>
        <w:tc>
          <w:tcPr>
            <w:tcW w:w="2300" w:type="dxa"/>
          </w:tcPr>
          <w:p w14:paraId="608DDE3C" w14:textId="77777777" w:rsidR="00966C94" w:rsidRDefault="00000000">
            <w:proofErr w:type="spellStart"/>
            <w:r>
              <w:rPr>
                <w:b/>
                <w:bCs/>
              </w:rPr>
              <w:t>osm_src_frac</w:t>
            </w:r>
            <w:proofErr w:type="spellEnd"/>
          </w:p>
        </w:tc>
        <w:tc>
          <w:tcPr>
            <w:tcW w:w="900" w:type="dxa"/>
          </w:tcPr>
          <w:p w14:paraId="3D938FFE" w14:textId="77777777" w:rsidR="00966C94" w:rsidRDefault="00000000">
            <w:r>
              <w:t>Float</w:t>
            </w:r>
          </w:p>
        </w:tc>
        <w:tc>
          <w:tcPr>
            <w:tcW w:w="1600" w:type="dxa"/>
          </w:tcPr>
          <w:p w14:paraId="6107E833" w14:textId="77777777" w:rsidR="00966C94" w:rsidRDefault="00000000">
            <w:r>
              <w:t>0.0–1.0</w:t>
            </w:r>
          </w:p>
        </w:tc>
        <w:tc>
          <w:tcPr>
            <w:tcW w:w="4600" w:type="dxa"/>
          </w:tcPr>
          <w:p w14:paraId="0763E012" w14:textId="77777777" w:rsidR="00966C94" w:rsidRDefault="00000000">
            <w:r>
              <w:t xml:space="preserve">The fraction of buildings in </w:t>
            </w:r>
            <w:proofErr w:type="spellStart"/>
            <w:r>
              <w:t>GlobalBuildingAtlas's</w:t>
            </w:r>
            <w:proofErr w:type="spellEnd"/>
            <w:r>
              <w:t xml:space="preserve"> (GBA) own fused dataset for this station that trace back to OpenStreetMap specifically, versus GBA's other fusion sources (Microsoft, Google, or TUM's own machine-learning pipelines). Stations with </w:t>
            </w:r>
            <w:proofErr w:type="spellStart"/>
            <w:r>
              <w:t>osm_src_frac</w:t>
            </w:r>
            <w:proofErr w:type="spellEnd"/>
            <w:r>
              <w:t xml:space="preserve"> below 0.5 are treated as OSM-</w:t>
            </w:r>
            <w:proofErr w:type="spellStart"/>
            <w:r>
              <w:t>undermapped</w:t>
            </w:r>
            <w:proofErr w:type="spellEnd"/>
            <w:r>
              <w:t>; this is the threshold that determines Inner/Middle/</w:t>
            </w:r>
            <w:proofErr w:type="spellStart"/>
            <w:r>
              <w:t>Outer_CountsSource</w:t>
            </w:r>
            <w:proofErr w:type="spellEnd"/>
            <w:r>
              <w:t xml:space="preserve"> below. This is a diagnostic of GBA's own source composition, not a direct description of this file's own sourcing — see Data Notes.</w:t>
            </w:r>
          </w:p>
        </w:tc>
      </w:tr>
      <w:tr w:rsidR="00966C94" w14:paraId="55613C7A" w14:textId="77777777">
        <w:tblPrEx>
          <w:tblCellMar>
            <w:top w:w="0" w:type="dxa"/>
            <w:bottom w:w="0" w:type="dxa"/>
          </w:tblCellMar>
        </w:tblPrEx>
        <w:tc>
          <w:tcPr>
            <w:tcW w:w="2300" w:type="dxa"/>
          </w:tcPr>
          <w:p w14:paraId="6318932D" w14:textId="77777777" w:rsidR="00966C94" w:rsidRDefault="00000000">
            <w:proofErr w:type="spellStart"/>
            <w:r>
              <w:lastRenderedPageBreak/>
              <w:t>osm</w:t>
            </w:r>
            <w:proofErr w:type="spellEnd"/>
          </w:p>
        </w:tc>
        <w:tc>
          <w:tcPr>
            <w:tcW w:w="900" w:type="dxa"/>
          </w:tcPr>
          <w:p w14:paraId="40D300FC" w14:textId="77777777" w:rsidR="00966C94" w:rsidRDefault="00000000">
            <w:r>
              <w:t>Float</w:t>
            </w:r>
          </w:p>
        </w:tc>
        <w:tc>
          <w:tcPr>
            <w:tcW w:w="1600" w:type="dxa"/>
          </w:tcPr>
          <w:p w14:paraId="79D9A301" w14:textId="77777777" w:rsidR="00966C94" w:rsidRDefault="00000000">
            <w:r>
              <w:t>Count</w:t>
            </w:r>
          </w:p>
        </w:tc>
        <w:tc>
          <w:tcPr>
            <w:tcW w:w="4600" w:type="dxa"/>
          </w:tcPr>
          <w:p w14:paraId="2D4F46F0" w14:textId="77777777" w:rsidR="00966C94" w:rsidRDefault="00000000">
            <w:r>
              <w:t>Number of buildings in GBA's fused dataset for this station that trace back to OpenStreetMap.</w:t>
            </w:r>
          </w:p>
        </w:tc>
      </w:tr>
      <w:tr w:rsidR="00966C94" w14:paraId="52D98FAA" w14:textId="77777777">
        <w:tblPrEx>
          <w:tblCellMar>
            <w:top w:w="0" w:type="dxa"/>
            <w:bottom w:w="0" w:type="dxa"/>
          </w:tblCellMar>
        </w:tblPrEx>
        <w:tc>
          <w:tcPr>
            <w:tcW w:w="2300" w:type="dxa"/>
          </w:tcPr>
          <w:p w14:paraId="0E5A059E" w14:textId="77777777" w:rsidR="00966C94" w:rsidRDefault="00000000">
            <w:proofErr w:type="spellStart"/>
            <w:r>
              <w:t>ms</w:t>
            </w:r>
            <w:proofErr w:type="spellEnd"/>
          </w:p>
        </w:tc>
        <w:tc>
          <w:tcPr>
            <w:tcW w:w="900" w:type="dxa"/>
          </w:tcPr>
          <w:p w14:paraId="2E962417" w14:textId="77777777" w:rsidR="00966C94" w:rsidRDefault="00000000">
            <w:r>
              <w:t>Float</w:t>
            </w:r>
          </w:p>
        </w:tc>
        <w:tc>
          <w:tcPr>
            <w:tcW w:w="1600" w:type="dxa"/>
          </w:tcPr>
          <w:p w14:paraId="50F347D8" w14:textId="77777777" w:rsidR="00966C94" w:rsidRDefault="00000000">
            <w:r>
              <w:t>Count</w:t>
            </w:r>
          </w:p>
        </w:tc>
        <w:tc>
          <w:tcPr>
            <w:tcW w:w="4600" w:type="dxa"/>
          </w:tcPr>
          <w:p w14:paraId="2017F9DE" w14:textId="77777777" w:rsidR="00966C94" w:rsidRDefault="00000000">
            <w:r>
              <w:t>Number of buildings in GBA's fused dataset for this station that trace back to Microsoft's building footprint dataset.</w:t>
            </w:r>
          </w:p>
        </w:tc>
      </w:tr>
      <w:tr w:rsidR="00966C94" w14:paraId="453CCB48" w14:textId="77777777">
        <w:tblPrEx>
          <w:tblCellMar>
            <w:top w:w="0" w:type="dxa"/>
            <w:bottom w:w="0" w:type="dxa"/>
          </w:tblCellMar>
        </w:tblPrEx>
        <w:tc>
          <w:tcPr>
            <w:tcW w:w="2300" w:type="dxa"/>
          </w:tcPr>
          <w:p w14:paraId="7F695AAD" w14:textId="77777777" w:rsidR="00966C94" w:rsidRDefault="00000000">
            <w:r>
              <w:t>google</w:t>
            </w:r>
          </w:p>
        </w:tc>
        <w:tc>
          <w:tcPr>
            <w:tcW w:w="900" w:type="dxa"/>
          </w:tcPr>
          <w:p w14:paraId="07C88A99" w14:textId="77777777" w:rsidR="00966C94" w:rsidRDefault="00000000">
            <w:r>
              <w:t>Integer</w:t>
            </w:r>
          </w:p>
        </w:tc>
        <w:tc>
          <w:tcPr>
            <w:tcW w:w="1600" w:type="dxa"/>
          </w:tcPr>
          <w:p w14:paraId="3379CADA" w14:textId="77777777" w:rsidR="00966C94" w:rsidRDefault="00000000">
            <w:r>
              <w:t>Count</w:t>
            </w:r>
          </w:p>
        </w:tc>
        <w:tc>
          <w:tcPr>
            <w:tcW w:w="4600" w:type="dxa"/>
          </w:tcPr>
          <w:p w14:paraId="6267DAAB" w14:textId="77777777" w:rsidR="00966C94" w:rsidRDefault="00000000">
            <w:r>
              <w:t>Number of buildings in GBA's fused dataset for this station that trace back to Google's Open Buildings dataset.</w:t>
            </w:r>
          </w:p>
        </w:tc>
      </w:tr>
      <w:tr w:rsidR="00966C94" w14:paraId="12FD0EA4" w14:textId="77777777">
        <w:tblPrEx>
          <w:tblCellMar>
            <w:top w:w="0" w:type="dxa"/>
            <w:bottom w:w="0" w:type="dxa"/>
          </w:tblCellMar>
        </w:tblPrEx>
        <w:tc>
          <w:tcPr>
            <w:tcW w:w="2300" w:type="dxa"/>
          </w:tcPr>
          <w:p w14:paraId="484F57FB" w14:textId="77777777" w:rsidR="00966C94" w:rsidRDefault="00000000">
            <w:r>
              <w:t>ours2</w:t>
            </w:r>
          </w:p>
        </w:tc>
        <w:tc>
          <w:tcPr>
            <w:tcW w:w="900" w:type="dxa"/>
          </w:tcPr>
          <w:p w14:paraId="26EF1552" w14:textId="77777777" w:rsidR="00966C94" w:rsidRDefault="00000000">
            <w:r>
              <w:t>Float</w:t>
            </w:r>
          </w:p>
        </w:tc>
        <w:tc>
          <w:tcPr>
            <w:tcW w:w="1600" w:type="dxa"/>
          </w:tcPr>
          <w:p w14:paraId="3D11BC29" w14:textId="77777777" w:rsidR="00966C94" w:rsidRDefault="00000000">
            <w:r>
              <w:t>Count</w:t>
            </w:r>
          </w:p>
        </w:tc>
        <w:tc>
          <w:tcPr>
            <w:tcW w:w="4600" w:type="dxa"/>
          </w:tcPr>
          <w:p w14:paraId="6C6C54C6" w14:textId="77777777" w:rsidR="00966C94" w:rsidRDefault="00000000">
            <w:r>
              <w:t>Number of buildings in GBA's fused dataset for this station that trace back to one of TUM's own machine-learning building-extraction pipelines.</w:t>
            </w:r>
          </w:p>
        </w:tc>
      </w:tr>
      <w:tr w:rsidR="00966C94" w14:paraId="4FA7A94D" w14:textId="77777777">
        <w:tblPrEx>
          <w:tblCellMar>
            <w:top w:w="0" w:type="dxa"/>
            <w:bottom w:w="0" w:type="dxa"/>
          </w:tblCellMar>
        </w:tblPrEx>
        <w:tc>
          <w:tcPr>
            <w:tcW w:w="2300" w:type="dxa"/>
          </w:tcPr>
          <w:p w14:paraId="112773D6" w14:textId="77777777" w:rsidR="00966C94" w:rsidRDefault="00000000">
            <w:r>
              <w:t>3dglobfp</w:t>
            </w:r>
          </w:p>
        </w:tc>
        <w:tc>
          <w:tcPr>
            <w:tcW w:w="900" w:type="dxa"/>
          </w:tcPr>
          <w:p w14:paraId="31938C72" w14:textId="77777777" w:rsidR="00966C94" w:rsidRDefault="00000000">
            <w:r>
              <w:t>Integer</w:t>
            </w:r>
          </w:p>
        </w:tc>
        <w:tc>
          <w:tcPr>
            <w:tcW w:w="1600" w:type="dxa"/>
          </w:tcPr>
          <w:p w14:paraId="047FB1A2" w14:textId="77777777" w:rsidR="00966C94" w:rsidRDefault="00000000">
            <w:r>
              <w:t>Count</w:t>
            </w:r>
          </w:p>
        </w:tc>
        <w:tc>
          <w:tcPr>
            <w:tcW w:w="4600" w:type="dxa"/>
          </w:tcPr>
          <w:p w14:paraId="31CE3A84" w14:textId="77777777" w:rsidR="00966C94" w:rsidRDefault="00000000">
            <w:r>
              <w:t xml:space="preserve">Number of buildings in GBA's fused dataset for this </w:t>
            </w:r>
            <w:proofErr w:type="gramStart"/>
            <w:r>
              <w:t>station that</w:t>
            </w:r>
            <w:proofErr w:type="gramEnd"/>
            <w:r>
              <w:t xml:space="preserve"> trace back to TUM's other machine-learning building-extraction pipeline.</w:t>
            </w:r>
          </w:p>
        </w:tc>
      </w:tr>
      <w:tr w:rsidR="00966C94" w14:paraId="58FD2ECC" w14:textId="77777777">
        <w:tblPrEx>
          <w:tblCellMar>
            <w:top w:w="0" w:type="dxa"/>
            <w:bottom w:w="0" w:type="dxa"/>
          </w:tblCellMar>
        </w:tblPrEx>
        <w:tc>
          <w:tcPr>
            <w:tcW w:w="2300" w:type="dxa"/>
          </w:tcPr>
          <w:p w14:paraId="6E16D685" w14:textId="77777777" w:rsidR="00966C94" w:rsidRDefault="00000000">
            <w:proofErr w:type="spellStart"/>
            <w:r>
              <w:rPr>
                <w:b/>
                <w:bCs/>
              </w:rPr>
              <w:t>Inner_CountsSource</w:t>
            </w:r>
            <w:proofErr w:type="spellEnd"/>
          </w:p>
        </w:tc>
        <w:tc>
          <w:tcPr>
            <w:tcW w:w="900" w:type="dxa"/>
          </w:tcPr>
          <w:p w14:paraId="7D30AD90" w14:textId="77777777" w:rsidR="00966C94" w:rsidRDefault="00000000">
            <w:r>
              <w:t>String</w:t>
            </w:r>
          </w:p>
        </w:tc>
        <w:tc>
          <w:tcPr>
            <w:tcW w:w="1600" w:type="dxa"/>
          </w:tcPr>
          <w:p w14:paraId="4F7F7A41" w14:textId="77777777" w:rsidR="00966C94" w:rsidRDefault="00000000">
            <w:r>
              <w:t>“GBA” or “OSM”</w:t>
            </w:r>
          </w:p>
        </w:tc>
        <w:tc>
          <w:tcPr>
            <w:tcW w:w="4600" w:type="dxa"/>
          </w:tcPr>
          <w:p w14:paraId="6881DCB6" w14:textId="77777777" w:rsidR="00966C94" w:rsidRDefault="00000000">
            <w:r>
              <w:t xml:space="preserve">The actual source used for </w:t>
            </w:r>
            <w:proofErr w:type="spellStart"/>
            <w:r>
              <w:t>Inner_TotalBuildings</w:t>
            </w:r>
            <w:proofErr w:type="spellEnd"/>
            <w:r>
              <w:t xml:space="preserve">, </w:t>
            </w:r>
            <w:proofErr w:type="spellStart"/>
            <w:r>
              <w:t>Inner_TotalFootprint</w:t>
            </w:r>
            <w:proofErr w:type="spellEnd"/>
            <w:r>
              <w:t xml:space="preserve">, and </w:t>
            </w:r>
            <w:proofErr w:type="spellStart"/>
            <w:r>
              <w:t>Inner_BuildingsWithHeight</w:t>
            </w:r>
            <w:proofErr w:type="spellEnd"/>
            <w:r>
              <w:t xml:space="preserve"> at this station. “GBA” for stations where </w:t>
            </w:r>
            <w:proofErr w:type="spellStart"/>
            <w:r>
              <w:t>osm_src_frac</w:t>
            </w:r>
            <w:proofErr w:type="spellEnd"/>
            <w:r>
              <w:t xml:space="preserve"> &lt; 0.5 AND GBA had data available for this specific ring; “OSM” otherwise, including cases where the station is </w:t>
            </w:r>
            <w:proofErr w:type="spellStart"/>
            <w:r>
              <w:t>undermapped</w:t>
            </w:r>
            <w:proofErr w:type="spellEnd"/>
            <w:r>
              <w:t xml:space="preserve"> </w:t>
            </w:r>
            <w:proofErr w:type="gramStart"/>
            <w:r>
              <w:t>overall</w:t>
            </w:r>
            <w:proofErr w:type="gramEnd"/>
            <w:r>
              <w:t xml:space="preserve"> but GBA happened to have no data for this </w:t>
            </w:r>
            <w:proofErr w:type="gramStart"/>
            <w:r>
              <w:t>particular ring</w:t>
            </w:r>
            <w:proofErr w:type="gramEnd"/>
            <w:r>
              <w:t xml:space="preserve"> (a small number of cases — see Data Notes).</w:t>
            </w:r>
          </w:p>
        </w:tc>
      </w:tr>
      <w:tr w:rsidR="00966C94" w14:paraId="6BAD7A50" w14:textId="77777777">
        <w:tblPrEx>
          <w:tblCellMar>
            <w:top w:w="0" w:type="dxa"/>
            <w:bottom w:w="0" w:type="dxa"/>
          </w:tblCellMar>
        </w:tblPrEx>
        <w:tc>
          <w:tcPr>
            <w:tcW w:w="2300" w:type="dxa"/>
          </w:tcPr>
          <w:p w14:paraId="03F92B8B" w14:textId="77777777" w:rsidR="00966C94" w:rsidRDefault="00000000">
            <w:proofErr w:type="spellStart"/>
            <w:r>
              <w:rPr>
                <w:b/>
                <w:bCs/>
              </w:rPr>
              <w:t>Middle_CountsSource</w:t>
            </w:r>
            <w:proofErr w:type="spellEnd"/>
          </w:p>
        </w:tc>
        <w:tc>
          <w:tcPr>
            <w:tcW w:w="900" w:type="dxa"/>
          </w:tcPr>
          <w:p w14:paraId="09082866" w14:textId="77777777" w:rsidR="00966C94" w:rsidRDefault="00000000">
            <w:r>
              <w:t>String</w:t>
            </w:r>
          </w:p>
        </w:tc>
        <w:tc>
          <w:tcPr>
            <w:tcW w:w="1600" w:type="dxa"/>
          </w:tcPr>
          <w:p w14:paraId="19028DAD" w14:textId="77777777" w:rsidR="00966C94" w:rsidRDefault="00000000">
            <w:r>
              <w:t>“GBA” or “OSM”</w:t>
            </w:r>
          </w:p>
        </w:tc>
        <w:tc>
          <w:tcPr>
            <w:tcW w:w="4600" w:type="dxa"/>
          </w:tcPr>
          <w:p w14:paraId="1201D74E" w14:textId="77777777" w:rsidR="00966C94" w:rsidRDefault="00000000">
            <w:r>
              <w:t xml:space="preserve">Same logic as </w:t>
            </w:r>
            <w:proofErr w:type="spellStart"/>
            <w:r>
              <w:t>Inner_CountsSource</w:t>
            </w:r>
            <w:proofErr w:type="spellEnd"/>
            <w:r>
              <w:t>, for the Middle ring.</w:t>
            </w:r>
          </w:p>
        </w:tc>
      </w:tr>
      <w:tr w:rsidR="00966C94" w14:paraId="746277A0" w14:textId="77777777">
        <w:tblPrEx>
          <w:tblCellMar>
            <w:top w:w="0" w:type="dxa"/>
            <w:bottom w:w="0" w:type="dxa"/>
          </w:tblCellMar>
        </w:tblPrEx>
        <w:tc>
          <w:tcPr>
            <w:tcW w:w="2300" w:type="dxa"/>
          </w:tcPr>
          <w:p w14:paraId="793A4AFE" w14:textId="77777777" w:rsidR="00966C94" w:rsidRDefault="00000000">
            <w:proofErr w:type="spellStart"/>
            <w:r>
              <w:rPr>
                <w:b/>
                <w:bCs/>
              </w:rPr>
              <w:t>Outer_CountsSource</w:t>
            </w:r>
            <w:proofErr w:type="spellEnd"/>
          </w:p>
        </w:tc>
        <w:tc>
          <w:tcPr>
            <w:tcW w:w="900" w:type="dxa"/>
          </w:tcPr>
          <w:p w14:paraId="4C5BDCE5" w14:textId="77777777" w:rsidR="00966C94" w:rsidRDefault="00000000">
            <w:r>
              <w:t>String</w:t>
            </w:r>
          </w:p>
        </w:tc>
        <w:tc>
          <w:tcPr>
            <w:tcW w:w="1600" w:type="dxa"/>
          </w:tcPr>
          <w:p w14:paraId="7B36294F" w14:textId="77777777" w:rsidR="00966C94" w:rsidRDefault="00000000">
            <w:r>
              <w:t>“GBA” or “OSM”</w:t>
            </w:r>
          </w:p>
        </w:tc>
        <w:tc>
          <w:tcPr>
            <w:tcW w:w="4600" w:type="dxa"/>
          </w:tcPr>
          <w:p w14:paraId="67DBC005" w14:textId="77777777" w:rsidR="00966C94" w:rsidRDefault="00000000">
            <w:r>
              <w:t xml:space="preserve">Same logic as </w:t>
            </w:r>
            <w:proofErr w:type="spellStart"/>
            <w:r>
              <w:t>Inner_CountsSource</w:t>
            </w:r>
            <w:proofErr w:type="spellEnd"/>
            <w:r>
              <w:t>, for the Outer ring.</w:t>
            </w:r>
          </w:p>
        </w:tc>
      </w:tr>
    </w:tbl>
    <w:p w14:paraId="00941FFA" w14:textId="77777777" w:rsidR="00966C94" w:rsidRDefault="00000000">
      <w:pPr>
        <w:pStyle w:val="Heading2"/>
        <w:spacing w:before="300"/>
      </w:pPr>
      <w:r>
        <w:t>Data Notes and Caveats</w:t>
      </w:r>
    </w:p>
    <w:p w14:paraId="4D9B6E32" w14:textId="77777777" w:rsidR="00966C94" w:rsidRDefault="00000000">
      <w:pPr>
        <w:spacing w:after="160"/>
      </w:pPr>
      <w:r>
        <w:rPr>
          <w:b/>
          <w:bCs/>
        </w:rPr>
        <w:t xml:space="preserve">Selective counts, universal height — the key thing to understand about this file. </w:t>
      </w:r>
      <w:r>
        <w:t>Building count and footprint (</w:t>
      </w:r>
      <w:proofErr w:type="spellStart"/>
      <w:r>
        <w:t>TotalBuildings</w:t>
      </w:r>
      <w:proofErr w:type="spellEnd"/>
      <w:r>
        <w:t xml:space="preserve">, </w:t>
      </w:r>
      <w:proofErr w:type="spellStart"/>
      <w:r>
        <w:t>TotalFootprint</w:t>
      </w:r>
      <w:proofErr w:type="spellEnd"/>
      <w:r>
        <w:t xml:space="preserve">, </w:t>
      </w:r>
      <w:proofErr w:type="spellStart"/>
      <w:r>
        <w:t>AvgFootprint</w:t>
      </w:r>
      <w:proofErr w:type="spellEnd"/>
      <w:r>
        <w:t xml:space="preserve">, </w:t>
      </w:r>
      <w:proofErr w:type="spellStart"/>
      <w:r>
        <w:t>BuildingsWithHeight</w:t>
      </w:r>
      <w:proofErr w:type="spellEnd"/>
      <w:r>
        <w:t>) use GBA only for the subset of stations where OpenStreetMap was found to be thin; everywhere else, they are OpenStreetMap's own numbers, unchanged. Building height (</w:t>
      </w:r>
      <w:proofErr w:type="spellStart"/>
      <w:r>
        <w:t>MaxHeight</w:t>
      </w:r>
      <w:proofErr w:type="spellEnd"/>
      <w:r>
        <w:t xml:space="preserve">, </w:t>
      </w:r>
      <w:proofErr w:type="spellStart"/>
      <w:r>
        <w:t>AvgHeight</w:t>
      </w:r>
      <w:proofErr w:type="spellEnd"/>
      <w:r>
        <w:t>) uses GBA for every station, regardless of source status, because GBA offers complete height coverage where OpenStreetMap's does not. Check the *_</w:t>
      </w:r>
      <w:proofErr w:type="spellStart"/>
      <w:r>
        <w:t>CountsSource</w:t>
      </w:r>
      <w:proofErr w:type="spellEnd"/>
      <w:r>
        <w:t xml:space="preserve"> columns before assuming where a given station's counts came from — do not assume a station is “all GBA” or “all OSM” based on height alone.</w:t>
      </w:r>
    </w:p>
    <w:p w14:paraId="5EDF4CBB" w14:textId="77777777" w:rsidR="00966C94" w:rsidRDefault="00000000">
      <w:pPr>
        <w:spacing w:after="160"/>
      </w:pPr>
      <w:proofErr w:type="spellStart"/>
      <w:proofErr w:type="gramStart"/>
      <w:r>
        <w:rPr>
          <w:b/>
          <w:bCs/>
        </w:rPr>
        <w:t>CountsSource</w:t>
      </w:r>
      <w:proofErr w:type="spellEnd"/>
      <w:proofErr w:type="gramEnd"/>
      <w:r>
        <w:rPr>
          <w:b/>
          <w:bCs/>
        </w:rPr>
        <w:t xml:space="preserve"> is per </w:t>
      </w:r>
      <w:proofErr w:type="gramStart"/>
      <w:r>
        <w:rPr>
          <w:b/>
          <w:bCs/>
        </w:rPr>
        <w:t>ring, and</w:t>
      </w:r>
      <w:proofErr w:type="gramEnd"/>
      <w:r>
        <w:rPr>
          <w:b/>
          <w:bCs/>
        </w:rPr>
        <w:t xml:space="preserve"> can differ within one station. </w:t>
      </w:r>
      <w:r>
        <w:t xml:space="preserve">A small number of stations (fewer than 10) are </w:t>
      </w:r>
      <w:proofErr w:type="spellStart"/>
      <w:r>
        <w:t>undermapped</w:t>
      </w:r>
      <w:proofErr w:type="spellEnd"/>
      <w:r>
        <w:t xml:space="preserve"> overall but have one ring where GBA had no data available; that specific ring falls back to OpenStreetMap while the station’s other rings use GBA. Always check the </w:t>
      </w:r>
      <w:proofErr w:type="spellStart"/>
      <w:r>
        <w:t>CountsSource</w:t>
      </w:r>
      <w:proofErr w:type="spellEnd"/>
      <w:r>
        <w:t xml:space="preserve"> for the specific ring you’re using, not just one ring as a proxy for the whole station.</w:t>
      </w:r>
    </w:p>
    <w:p w14:paraId="378F7BB3" w14:textId="77777777" w:rsidR="00966C94" w:rsidRDefault="00000000">
      <w:pPr>
        <w:spacing w:after="160"/>
      </w:pPr>
      <w:r>
        <w:rPr>
          <w:b/>
          <w:bCs/>
        </w:rPr>
        <w:t xml:space="preserve">GBA height runs modestly lower than OpenStreetMap’s own reported figures, on average, in already well-mapped areas. </w:t>
      </w:r>
      <w:r>
        <w:t xml:space="preserve">This is a known, consistent pattern (roughly 6–16% lower depending on ring) and is favored here for completeness rather than accuracy in any single well-mapped location. It is most pronounced for genuine supertall buildings — GBA’s satellite-derived height estimation is less reliable at extreme heights than at typical building heights, so </w:t>
      </w:r>
      <w:proofErr w:type="spellStart"/>
      <w:r>
        <w:t>MaxHeight</w:t>
      </w:r>
      <w:proofErr w:type="spellEnd"/>
      <w:r>
        <w:t xml:space="preserve"> in dense downtown cores with known landmark towers should be treated with more caution than </w:t>
      </w:r>
      <w:proofErr w:type="spellStart"/>
      <w:r>
        <w:t>MaxHeight</w:t>
      </w:r>
      <w:proofErr w:type="spellEnd"/>
      <w:r>
        <w:t xml:space="preserve"> in lower-rise areas.</w:t>
      </w:r>
    </w:p>
    <w:p w14:paraId="16894CBC" w14:textId="77777777" w:rsidR="00966C94" w:rsidRDefault="00000000">
      <w:pPr>
        <w:spacing w:after="160"/>
      </w:pPr>
      <w:proofErr w:type="spellStart"/>
      <w:r>
        <w:rPr>
          <w:b/>
          <w:bCs/>
        </w:rPr>
        <w:t>osm_src_frac</w:t>
      </w:r>
      <w:proofErr w:type="spellEnd"/>
      <w:r>
        <w:rPr>
          <w:b/>
          <w:bCs/>
        </w:rPr>
        <w:t xml:space="preserve"> and the source-count columns (</w:t>
      </w:r>
      <w:proofErr w:type="spellStart"/>
      <w:r>
        <w:rPr>
          <w:b/>
          <w:bCs/>
        </w:rPr>
        <w:t>osm</w:t>
      </w:r>
      <w:proofErr w:type="spellEnd"/>
      <w:r>
        <w:rPr>
          <w:b/>
          <w:bCs/>
        </w:rPr>
        <w:t>/</w:t>
      </w:r>
      <w:proofErr w:type="spellStart"/>
      <w:r>
        <w:rPr>
          <w:b/>
          <w:bCs/>
        </w:rPr>
        <w:t>ms</w:t>
      </w:r>
      <w:proofErr w:type="spellEnd"/>
      <w:r>
        <w:rPr>
          <w:b/>
          <w:bCs/>
        </w:rPr>
        <w:t xml:space="preserve">/google/ours2/3dglobfp) describe GBA’s own internal composition, not this file’s sourcing directly. </w:t>
      </w:r>
      <w:r>
        <w:t xml:space="preserve">They </w:t>
      </w:r>
      <w:proofErr w:type="gramStart"/>
      <w:r>
        <w:t>answer</w:t>
      </w:r>
      <w:proofErr w:type="gramEnd"/>
      <w:r>
        <w:t xml:space="preserve"> “of the buildings GBA itself found here, what fraction trace back to each of GBA’s five fusion inputs,” which is a different question from “which source did this specific column in this file come from” (that’s what *_</w:t>
      </w:r>
      <w:proofErr w:type="spellStart"/>
      <w:r>
        <w:t>CountsSource</w:t>
      </w:r>
      <w:proofErr w:type="spellEnd"/>
      <w:r>
        <w:t xml:space="preserve"> answers). </w:t>
      </w:r>
      <w:proofErr w:type="spellStart"/>
      <w:r>
        <w:t>osm_src_frac</w:t>
      </w:r>
      <w:proofErr w:type="spellEnd"/>
      <w:r>
        <w:t xml:space="preserve"> is the diagnostic used to determine the </w:t>
      </w:r>
      <w:proofErr w:type="spellStart"/>
      <w:r>
        <w:t>undermapped</w:t>
      </w:r>
      <w:proofErr w:type="spellEnd"/>
      <w:r>
        <w:t xml:space="preserve"> threshold, but it is not itself a direct label of this row’s data source.</w:t>
      </w:r>
    </w:p>
    <w:p w14:paraId="2C517F72" w14:textId="77777777" w:rsidR="00966C94" w:rsidRDefault="00000000">
      <w:pPr>
        <w:spacing w:after="160"/>
      </w:pPr>
      <w:r>
        <w:rPr>
          <w:b/>
          <w:bCs/>
        </w:rPr>
        <w:t xml:space="preserve">A station showing 0 for all three rings’ building counts most often reflects a location with genuinely little or no nearby development (e.g. some ferry terminals, cemetery-adjacent stations, or remote park-and-ride stops), not a data error. </w:t>
      </w:r>
      <w:r>
        <w:t>A small number of these were confirmed by direct spot-check during this dataset’s development.</w:t>
      </w:r>
    </w:p>
    <w:sectPr w:rsidR="00966C9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D2EFB"/>
    <w:multiLevelType w:val="hybridMultilevel"/>
    <w:tmpl w:val="15108DAE"/>
    <w:lvl w:ilvl="0" w:tplc="C0841448">
      <w:start w:val="1"/>
      <w:numFmt w:val="bullet"/>
      <w:lvlText w:val="●"/>
      <w:lvlJc w:val="left"/>
      <w:pPr>
        <w:ind w:left="720" w:hanging="360"/>
      </w:pPr>
    </w:lvl>
    <w:lvl w:ilvl="1" w:tplc="51905E04">
      <w:start w:val="1"/>
      <w:numFmt w:val="bullet"/>
      <w:lvlText w:val="○"/>
      <w:lvlJc w:val="left"/>
      <w:pPr>
        <w:ind w:left="1440" w:hanging="360"/>
      </w:pPr>
    </w:lvl>
    <w:lvl w:ilvl="2" w:tplc="423A072A">
      <w:start w:val="1"/>
      <w:numFmt w:val="bullet"/>
      <w:lvlText w:val="■"/>
      <w:lvlJc w:val="left"/>
      <w:pPr>
        <w:ind w:left="2160" w:hanging="360"/>
      </w:pPr>
    </w:lvl>
    <w:lvl w:ilvl="3" w:tplc="1CDEB81A">
      <w:start w:val="1"/>
      <w:numFmt w:val="bullet"/>
      <w:lvlText w:val="●"/>
      <w:lvlJc w:val="left"/>
      <w:pPr>
        <w:ind w:left="2880" w:hanging="360"/>
      </w:pPr>
    </w:lvl>
    <w:lvl w:ilvl="4" w:tplc="58C298D4">
      <w:start w:val="1"/>
      <w:numFmt w:val="bullet"/>
      <w:lvlText w:val="○"/>
      <w:lvlJc w:val="left"/>
      <w:pPr>
        <w:ind w:left="3600" w:hanging="360"/>
      </w:pPr>
    </w:lvl>
    <w:lvl w:ilvl="5" w:tplc="91BAF3E0">
      <w:start w:val="1"/>
      <w:numFmt w:val="bullet"/>
      <w:lvlText w:val="■"/>
      <w:lvlJc w:val="left"/>
      <w:pPr>
        <w:ind w:left="4320" w:hanging="360"/>
      </w:pPr>
    </w:lvl>
    <w:lvl w:ilvl="6" w:tplc="74542A64">
      <w:start w:val="1"/>
      <w:numFmt w:val="bullet"/>
      <w:lvlText w:val="●"/>
      <w:lvlJc w:val="left"/>
      <w:pPr>
        <w:ind w:left="5040" w:hanging="360"/>
      </w:pPr>
    </w:lvl>
    <w:lvl w:ilvl="7" w:tplc="B87E30CE">
      <w:start w:val="1"/>
      <w:numFmt w:val="bullet"/>
      <w:lvlText w:val="●"/>
      <w:lvlJc w:val="left"/>
      <w:pPr>
        <w:ind w:left="5760" w:hanging="360"/>
      </w:pPr>
    </w:lvl>
    <w:lvl w:ilvl="8" w:tplc="A41435F0">
      <w:start w:val="1"/>
      <w:numFmt w:val="bullet"/>
      <w:lvlText w:val="●"/>
      <w:lvlJc w:val="left"/>
      <w:pPr>
        <w:ind w:left="6480" w:hanging="360"/>
      </w:pPr>
    </w:lvl>
  </w:abstractNum>
  <w:num w:numId="1" w16cid:durableId="11857520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C94"/>
    <w:rsid w:val="00966C94"/>
    <w:rsid w:val="00AA4BE0"/>
    <w:rsid w:val="00D03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FC626"/>
  <w15:docId w15:val="{A7159C42-3948-4887-8F5F-F6BA84718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ransitorienteddiscoveries.com/" TargetMode="External"/><Relationship Id="rId5" Type="http://schemas.openxmlformats.org/officeDocument/2006/relationships/hyperlink" Target="https://source.coop/repositories/tge-labs/globalbuildingatlas-lod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1957</Words>
  <Characters>11160</Characters>
  <Application>Microsoft Office Word</Application>
  <DocSecurity>0</DocSecurity>
  <Lines>93</Lines>
  <Paragraphs>26</Paragraphs>
  <ScaleCrop>false</ScaleCrop>
  <Company/>
  <LinksUpToDate>false</LinksUpToDate>
  <CharactersWithSpaces>13091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Schneider</cp:lastModifiedBy>
  <cp:revision>2</cp:revision>
  <dcterms:created xsi:type="dcterms:W3CDTF">2026-08-26T14:35:00Z</dcterms:created>
  <dcterms:modified xsi:type="dcterms:W3CDTF">2026-08-26T14:35:00Z</dcterms:modified>
</cp:coreProperties>
</file>